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9</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浙江省中小学数字音乐教室装备指导意见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36"/>
          <w:szCs w:val="36"/>
        </w:rPr>
      </w:pPr>
    </w:p>
    <w:p>
      <w:pPr>
        <w:pStyle w:val="2"/>
        <w:numPr>
          <w:ilvl w:val="0"/>
          <w:numId w:val="1"/>
        </w:numPr>
        <w:spacing w:before="0" w:after="0" w:line="720" w:lineRule="auto"/>
        <w:ind w:left="0" w:firstLine="0"/>
        <w:rPr>
          <w:rFonts w:ascii="黑体" w:hAnsi="黑体" w:eastAsia="黑体"/>
          <w:sz w:val="21"/>
          <w:szCs w:val="21"/>
          <w:lang w:val="zh-CN" w:eastAsia="zh-CN"/>
        </w:rPr>
      </w:pPr>
      <w:r>
        <w:rPr>
          <w:rFonts w:hint="eastAsia" w:ascii="黑体" w:hAnsi="黑体" w:eastAsia="黑体"/>
          <w:sz w:val="21"/>
          <w:szCs w:val="21"/>
          <w:lang w:val="zh-CN" w:eastAsia="zh-CN"/>
        </w:rPr>
        <w:t xml:space="preserve">范围 </w:t>
      </w:r>
    </w:p>
    <w:p>
      <w:pPr>
        <w:pStyle w:val="37"/>
        <w:spacing w:line="360" w:lineRule="auto"/>
        <w:rPr>
          <w:rFonts w:hAnsi="宋体"/>
          <w:szCs w:val="21"/>
        </w:rPr>
      </w:pPr>
      <w:r>
        <w:rPr>
          <w:rFonts w:hint="eastAsia" w:hAnsi="宋体"/>
          <w:szCs w:val="21"/>
        </w:rPr>
        <w:t>本指导意见规定了中小学数字音乐教室的基本要求，包括定义、总则、教室要求、装备内容等。</w:t>
      </w:r>
    </w:p>
    <w:p>
      <w:pPr>
        <w:pStyle w:val="37"/>
        <w:spacing w:line="360" w:lineRule="auto"/>
        <w:rPr>
          <w:rFonts w:hAnsi="宋体"/>
          <w:szCs w:val="21"/>
        </w:rPr>
      </w:pPr>
      <w:r>
        <w:rPr>
          <w:rFonts w:hint="eastAsia" w:hAnsi="宋体"/>
          <w:szCs w:val="21"/>
        </w:rPr>
        <w:t>本指导意见适用于中小学数字音乐教室的装备。</w:t>
      </w:r>
    </w:p>
    <w:p>
      <w:pPr>
        <w:pStyle w:val="2"/>
        <w:spacing w:before="0" w:after="0" w:line="720" w:lineRule="auto"/>
        <w:rPr>
          <w:rFonts w:ascii="黑体" w:hAnsi="黑体" w:eastAsia="黑体"/>
          <w:sz w:val="21"/>
          <w:szCs w:val="21"/>
          <w:lang w:val="zh-CN" w:eastAsia="zh-CN"/>
        </w:rPr>
      </w:pPr>
      <w:r>
        <w:rPr>
          <w:rFonts w:hint="eastAsia" w:ascii="黑体" w:hAnsi="黑体" w:eastAsia="黑体"/>
          <w:sz w:val="21"/>
          <w:szCs w:val="21"/>
          <w:lang w:val="zh-CN" w:eastAsia="zh-CN"/>
        </w:rPr>
        <w:t xml:space="preserve">2  定义 </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eastAsia="zh-CN"/>
        </w:rPr>
        <w:t>2.1  数字音乐教室</w:t>
      </w:r>
    </w:p>
    <w:p>
      <w:pPr>
        <w:pStyle w:val="37"/>
        <w:spacing w:line="360" w:lineRule="auto"/>
        <w:rPr>
          <w:rFonts w:hint="eastAsia" w:hAnsi="宋体" w:eastAsiaTheme="minorEastAsia"/>
          <w:szCs w:val="21"/>
          <w:lang w:eastAsia="zh-CN"/>
        </w:rPr>
      </w:pPr>
      <w:r>
        <w:rPr>
          <w:rFonts w:hint="eastAsia" w:hAnsi="宋体"/>
          <w:szCs w:val="21"/>
        </w:rPr>
        <w:t>满足义务教育音乐课程标准的要求，通过多媒体信息化设备，依托相关音乐教学软件及数字化配套硬件对学生实施音乐教育的场所</w:t>
      </w:r>
      <w:r>
        <w:rPr>
          <w:rFonts w:hint="eastAsia" w:hAnsi="宋体"/>
          <w:szCs w:val="21"/>
          <w:lang w:eastAsia="zh-CN"/>
        </w:rPr>
        <w:t>。</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eastAsia="zh-CN"/>
        </w:rPr>
        <w:t xml:space="preserve">2.2  数字化音乐教学系统  </w:t>
      </w:r>
    </w:p>
    <w:p>
      <w:pPr>
        <w:pStyle w:val="37"/>
        <w:spacing w:line="360" w:lineRule="auto"/>
        <w:rPr>
          <w:rFonts w:hAnsi="宋体"/>
          <w:szCs w:val="21"/>
        </w:rPr>
      </w:pPr>
      <w:r>
        <w:rPr>
          <w:rFonts w:hint="eastAsia" w:hAnsi="宋体"/>
          <w:szCs w:val="21"/>
        </w:rPr>
        <w:t>以计算机为载体，以液晶触摸屏为显示输出方式，结合特定音乐教学软件及相应音响设备实现歌唱教学、乐理教学、乐器教学、音乐创作教学的整套集成方案。</w:t>
      </w:r>
    </w:p>
    <w:p>
      <w:pPr>
        <w:pStyle w:val="2"/>
        <w:spacing w:before="0" w:after="0" w:line="720" w:lineRule="auto"/>
        <w:rPr>
          <w:rFonts w:ascii="黑体" w:hAnsi="黑体" w:eastAsia="黑体"/>
          <w:sz w:val="21"/>
          <w:szCs w:val="21"/>
          <w:lang w:val="zh-CN"/>
        </w:rPr>
      </w:pPr>
      <w:r>
        <w:rPr>
          <w:rFonts w:hint="eastAsia" w:ascii="黑体" w:hAnsi="黑体" w:eastAsia="黑体"/>
          <w:sz w:val="21"/>
          <w:szCs w:val="21"/>
          <w:lang w:val="zh-CN" w:eastAsia="zh-CN"/>
        </w:rPr>
        <w:t xml:space="preserve">3  总则   </w:t>
      </w:r>
    </w:p>
    <w:p>
      <w:pPr>
        <w:pStyle w:val="3"/>
        <w:spacing w:before="0" w:after="0" w:line="480" w:lineRule="auto"/>
        <w:rPr>
          <w:lang w:val="zh-CN"/>
        </w:rPr>
      </w:pPr>
      <w:r>
        <w:rPr>
          <w:rFonts w:hint="eastAsia" w:ascii="黑体" w:hAnsi="黑体"/>
          <w:kern w:val="44"/>
          <w:sz w:val="21"/>
          <w:szCs w:val="21"/>
          <w:lang w:val="zh-CN"/>
        </w:rPr>
        <w:t xml:space="preserve">3.1  </w:t>
      </w:r>
      <w:r>
        <w:rPr>
          <w:rFonts w:hint="eastAsia" w:ascii="黑体" w:hAnsi="黑体"/>
          <w:kern w:val="44"/>
          <w:sz w:val="21"/>
          <w:szCs w:val="21"/>
          <w:lang w:val="zh-CN" w:eastAsia="zh-CN"/>
        </w:rPr>
        <w:t>教学目标</w:t>
      </w:r>
    </w:p>
    <w:p>
      <w:pPr>
        <w:pStyle w:val="68"/>
        <w:numPr>
          <w:ilvl w:val="0"/>
          <w:numId w:val="2"/>
        </w:numPr>
        <w:spacing w:line="360" w:lineRule="auto"/>
        <w:ind w:firstLineChars="0"/>
        <w:rPr>
          <w:szCs w:val="21"/>
        </w:rPr>
      </w:pPr>
      <w:r>
        <w:rPr>
          <w:rFonts w:hint="eastAsia"/>
          <w:szCs w:val="21"/>
        </w:rPr>
        <w:t>体验。音乐教学过程应是完整而充分地体验音乐作品的过程。要启发学生在对音乐形态与音乐情感的积极体验中，充分展开联想与想象，爱护和鼓励学生在音乐体验中的独立见解。</w:t>
      </w:r>
    </w:p>
    <w:p>
      <w:pPr>
        <w:pStyle w:val="68"/>
        <w:numPr>
          <w:ilvl w:val="0"/>
          <w:numId w:val="2"/>
        </w:numPr>
        <w:spacing w:line="360" w:lineRule="auto"/>
        <w:ind w:firstLineChars="0"/>
        <w:rPr>
          <w:szCs w:val="21"/>
        </w:rPr>
      </w:pPr>
      <w:r>
        <w:rPr>
          <w:rFonts w:hint="eastAsia"/>
          <w:szCs w:val="21"/>
        </w:rPr>
        <w:t>比较。通过比较音乐的不同体裁、形式、风格、表现手法和人文背景，培养学生分析和评价音乐的初步能力。</w:t>
      </w:r>
    </w:p>
    <w:p>
      <w:pPr>
        <w:pStyle w:val="68"/>
        <w:numPr>
          <w:ilvl w:val="0"/>
          <w:numId w:val="2"/>
        </w:numPr>
        <w:spacing w:line="360" w:lineRule="auto"/>
        <w:ind w:firstLineChars="0"/>
        <w:rPr>
          <w:szCs w:val="21"/>
        </w:rPr>
      </w:pPr>
      <w:r>
        <w:rPr>
          <w:rFonts w:hint="eastAsia"/>
          <w:szCs w:val="21"/>
        </w:rPr>
        <w:t>探究。引导学生进行音乐探究与创造活动，倡导开放式和研究性的学习方法，以发展学生的创造性思维能力。</w:t>
      </w:r>
    </w:p>
    <w:p>
      <w:pPr>
        <w:pStyle w:val="68"/>
        <w:numPr>
          <w:ilvl w:val="0"/>
          <w:numId w:val="2"/>
        </w:numPr>
        <w:spacing w:line="360" w:lineRule="auto"/>
        <w:ind w:firstLineChars="0"/>
        <w:rPr>
          <w:szCs w:val="21"/>
        </w:rPr>
      </w:pPr>
      <w:r>
        <w:rPr>
          <w:rFonts w:hint="eastAsia"/>
          <w:szCs w:val="21"/>
        </w:rPr>
        <w:t>合作。在教学实践过程中，引导学生以音乐为媒介，加强与他人的合作与交流，增强协作能力和团队意识，培养集体主义精神。</w:t>
      </w:r>
    </w:p>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eastAsia="zh-CN"/>
        </w:rPr>
        <w:t>3.</w:t>
      </w:r>
      <w:r>
        <w:rPr>
          <w:rFonts w:hint="eastAsia" w:ascii="黑体" w:hAnsi="黑体"/>
          <w:kern w:val="44"/>
          <w:sz w:val="21"/>
          <w:szCs w:val="21"/>
          <w:lang w:val="zh-CN"/>
        </w:rPr>
        <w:t>2</w:t>
      </w:r>
      <w:r>
        <w:rPr>
          <w:rFonts w:hint="eastAsia" w:ascii="黑体" w:hAnsi="黑体"/>
          <w:kern w:val="44"/>
          <w:sz w:val="21"/>
          <w:szCs w:val="21"/>
          <w:lang w:val="zh-CN" w:eastAsia="zh-CN"/>
        </w:rPr>
        <w:t xml:space="preserve">  建设原则</w:t>
      </w:r>
    </w:p>
    <w:p>
      <w:pPr>
        <w:pStyle w:val="68"/>
        <w:numPr>
          <w:ilvl w:val="0"/>
          <w:numId w:val="3"/>
        </w:numPr>
        <w:spacing w:line="360" w:lineRule="auto"/>
        <w:ind w:firstLineChars="0"/>
        <w:rPr>
          <w:szCs w:val="21"/>
        </w:rPr>
      </w:pPr>
      <w:r>
        <w:rPr>
          <w:szCs w:val="21"/>
        </w:rPr>
        <w:t>装备内容</w:t>
      </w:r>
      <w:r>
        <w:rPr>
          <w:rFonts w:hint="eastAsia"/>
          <w:szCs w:val="21"/>
        </w:rPr>
        <w:t>注重教育性，围绕国家对艺术教育的基本要求，结合浙江省数字化音乐教室建设的实际需求，逐步推进数字化音乐教室中数字化教具的应用，有效提升音乐的开课率，有计划的缩小</w:t>
      </w:r>
      <w:r>
        <w:t>校际</w:t>
      </w:r>
      <w:r>
        <w:rPr>
          <w:rFonts w:hint="eastAsia"/>
        </w:rPr>
        <w:t>、</w:t>
      </w:r>
      <w:r>
        <w:t>城乡</w:t>
      </w:r>
      <w:r>
        <w:rPr>
          <w:rFonts w:hint="eastAsia"/>
        </w:rPr>
        <w:t>、</w:t>
      </w:r>
      <w:r>
        <w:t>区域型音乐教学的差距</w:t>
      </w:r>
      <w:r>
        <w:rPr>
          <w:rFonts w:hint="eastAsia"/>
        </w:rPr>
        <w:t>。</w:t>
      </w:r>
    </w:p>
    <w:p>
      <w:pPr>
        <w:pStyle w:val="68"/>
        <w:numPr>
          <w:ilvl w:val="0"/>
          <w:numId w:val="3"/>
        </w:numPr>
        <w:spacing w:line="360" w:lineRule="auto"/>
        <w:ind w:firstLineChars="0"/>
        <w:rPr>
          <w:szCs w:val="21"/>
        </w:rPr>
      </w:pPr>
      <w:r>
        <w:rPr>
          <w:rFonts w:hint="eastAsia"/>
          <w:szCs w:val="21"/>
        </w:rPr>
        <w:t>装备形式上注重体验性，趣味性，科技性。通过视觉体验、听觉体验、触角体验、心理体验和技术训练等过程，静态的展示转化为动态展示，将说教式的文字转化为互动的软件交互。实现生生互动、师生互动，呈现多元化教学内容，学生更好的学习音乐相关知识。</w:t>
      </w:r>
    </w:p>
    <w:p>
      <w:pPr>
        <w:pStyle w:val="3"/>
        <w:numPr>
          <w:ilvl w:val="1"/>
          <w:numId w:val="4"/>
        </w:numPr>
        <w:spacing w:before="0" w:after="0" w:line="480" w:lineRule="auto"/>
        <w:rPr>
          <w:rFonts w:ascii="黑体" w:hAnsi="黑体"/>
          <w:kern w:val="44"/>
          <w:sz w:val="21"/>
          <w:szCs w:val="21"/>
          <w:lang w:val="zh-CN" w:eastAsia="zh-CN"/>
        </w:rPr>
      </w:pPr>
      <w:r>
        <w:rPr>
          <w:rFonts w:hint="eastAsia" w:ascii="黑体" w:hAnsi="黑体"/>
          <w:kern w:val="44"/>
          <w:sz w:val="21"/>
          <w:szCs w:val="21"/>
        </w:rPr>
        <w:t xml:space="preserve"> </w:t>
      </w:r>
      <w:r>
        <w:rPr>
          <w:rFonts w:hint="eastAsia" w:ascii="黑体" w:hAnsi="黑体"/>
          <w:kern w:val="44"/>
          <w:sz w:val="21"/>
          <w:szCs w:val="21"/>
          <w:lang w:val="zh-CN" w:eastAsia="zh-CN"/>
        </w:rPr>
        <w:t>注意事项</w:t>
      </w:r>
    </w:p>
    <w:p>
      <w:pPr>
        <w:pStyle w:val="76"/>
        <w:numPr>
          <w:ilvl w:val="0"/>
          <w:numId w:val="5"/>
        </w:numPr>
        <w:spacing w:line="360" w:lineRule="auto"/>
      </w:pPr>
      <w:r>
        <w:rPr>
          <w:rFonts w:hint="eastAsia" w:ascii="宋体" w:hAnsi="宋体" w:eastAsia="宋体"/>
          <w:color w:val="000000"/>
          <w:szCs w:val="21"/>
        </w:rPr>
        <w:t>数字化音乐教室的抗震、防火设计，应符合</w:t>
      </w:r>
      <w:r>
        <w:rPr>
          <w:rFonts w:ascii="宋体" w:hAnsi="宋体" w:eastAsia="宋体"/>
          <w:szCs w:val="21"/>
        </w:rPr>
        <w:t>GB 50011</w:t>
      </w:r>
      <w:r>
        <w:rPr>
          <w:rFonts w:hint="eastAsia" w:ascii="宋体" w:hAnsi="宋体" w:eastAsia="宋体"/>
          <w:szCs w:val="21"/>
        </w:rPr>
        <w:t>、</w:t>
      </w:r>
      <w:r>
        <w:rPr>
          <w:rFonts w:ascii="宋体" w:hAnsi="宋体" w:eastAsia="宋体"/>
          <w:szCs w:val="21"/>
        </w:rPr>
        <w:t>GB 50016</w:t>
      </w:r>
      <w:r>
        <w:rPr>
          <w:rFonts w:hint="eastAsia" w:ascii="宋体" w:hAnsi="宋体" w:eastAsia="宋体"/>
          <w:szCs w:val="21"/>
        </w:rPr>
        <w:t>、</w:t>
      </w:r>
      <w:r>
        <w:rPr>
          <w:rFonts w:ascii="宋体" w:hAnsi="宋体" w:eastAsia="宋体"/>
          <w:szCs w:val="21"/>
        </w:rPr>
        <w:t>GB 50222</w:t>
      </w:r>
      <w:r>
        <w:rPr>
          <w:rFonts w:hint="eastAsia" w:ascii="宋体" w:hAnsi="宋体" w:eastAsia="宋体"/>
          <w:color w:val="000000"/>
          <w:szCs w:val="21"/>
        </w:rPr>
        <w:t>的规定。</w:t>
      </w:r>
    </w:p>
    <w:p>
      <w:pPr>
        <w:pStyle w:val="76"/>
        <w:numPr>
          <w:ilvl w:val="0"/>
          <w:numId w:val="5"/>
        </w:numPr>
        <w:spacing w:line="360" w:lineRule="auto"/>
        <w:rPr>
          <w:rFonts w:ascii="宋体" w:hAnsi="宋体" w:eastAsia="宋体"/>
          <w:szCs w:val="21"/>
        </w:rPr>
      </w:pPr>
      <w:r>
        <w:rPr>
          <w:rFonts w:hint="eastAsia" w:ascii="宋体" w:hAnsi="宋体" w:eastAsia="宋体"/>
          <w:szCs w:val="21"/>
        </w:rPr>
        <w:t>数字化音乐教室与其它教学用房设于同一教学楼内时，应分区设置，远离语言教室、心理咨询室、图书室、教师办公室等教学用房及教学辅助用房。</w:t>
      </w:r>
    </w:p>
    <w:p>
      <w:pPr>
        <w:pStyle w:val="68"/>
        <w:numPr>
          <w:ilvl w:val="0"/>
          <w:numId w:val="5"/>
        </w:numPr>
        <w:spacing w:line="360" w:lineRule="auto"/>
        <w:ind w:firstLineChars="0"/>
        <w:rPr>
          <w:rFonts w:ascii="宋体"/>
          <w:szCs w:val="21"/>
        </w:rPr>
      </w:pPr>
      <w:r>
        <w:rPr>
          <w:rFonts w:hint="eastAsia" w:ascii="宋体" w:hAnsi="宋体"/>
          <w:szCs w:val="21"/>
        </w:rPr>
        <w:t>数字化音乐教室应避免受到外界交通噪声、社会生活噪声、固定设备噪声</w:t>
      </w:r>
      <w:r>
        <w:rPr>
          <w:rFonts w:ascii="宋体" w:hAnsi="宋体"/>
          <w:szCs w:val="21"/>
        </w:rPr>
        <w:t>(</w:t>
      </w:r>
      <w:r>
        <w:rPr>
          <w:rFonts w:hint="eastAsia" w:ascii="宋体" w:hAnsi="宋体"/>
          <w:szCs w:val="21"/>
        </w:rPr>
        <w:t>如冷却塔、泵房、风机房、发电机房、输变电站</w:t>
      </w:r>
      <w:r>
        <w:rPr>
          <w:rFonts w:ascii="宋体" w:hAnsi="宋体"/>
          <w:szCs w:val="21"/>
        </w:rPr>
        <w:t>)</w:t>
      </w:r>
      <w:r>
        <w:rPr>
          <w:rFonts w:hint="eastAsia" w:ascii="宋体" w:hAnsi="宋体"/>
          <w:szCs w:val="21"/>
        </w:rPr>
        <w:t>、校内活动人群噪声等的干扰。</w:t>
      </w:r>
    </w:p>
    <w:p>
      <w:pPr>
        <w:pStyle w:val="76"/>
        <w:numPr>
          <w:ilvl w:val="0"/>
          <w:numId w:val="5"/>
        </w:numPr>
        <w:spacing w:line="360" w:lineRule="auto"/>
        <w:rPr>
          <w:rFonts w:ascii="宋体" w:hAnsi="宋体" w:eastAsia="宋体"/>
          <w:szCs w:val="21"/>
        </w:rPr>
      </w:pPr>
      <w:r>
        <w:rPr>
          <w:rFonts w:hint="eastAsia" w:ascii="宋体" w:hAnsi="宋体" w:eastAsia="宋体"/>
          <w:szCs w:val="21"/>
        </w:rPr>
        <w:t>凡是进入学校的教学仪器设备（含乐器类产品）产品，均需取得通过资质认定的教学仪器设备或乐器类产品质量检验机构出具的符合相关标准的合格检测报告。软件应经软件产品登记和备案。</w:t>
      </w:r>
    </w:p>
    <w:p>
      <w:pPr>
        <w:pStyle w:val="76"/>
        <w:numPr>
          <w:ilvl w:val="0"/>
          <w:numId w:val="5"/>
        </w:numPr>
        <w:spacing w:line="360" w:lineRule="auto"/>
        <w:rPr>
          <w:rFonts w:ascii="宋体" w:hAnsi="宋体" w:eastAsia="宋体"/>
          <w:szCs w:val="21"/>
        </w:rPr>
      </w:pPr>
      <w:r>
        <w:rPr>
          <w:rFonts w:hint="eastAsia" w:ascii="宋体" w:hAnsi="宋体" w:eastAsia="宋体"/>
          <w:szCs w:val="21"/>
        </w:rPr>
        <w:t>乐器、乐器配件的有害物质限量应符合</w:t>
      </w:r>
      <w:r>
        <w:rPr>
          <w:rFonts w:ascii="宋体" w:hAnsi="宋体" w:eastAsia="宋体"/>
          <w:szCs w:val="21"/>
        </w:rPr>
        <w:t>GB/T 28489</w:t>
      </w:r>
      <w:r>
        <w:rPr>
          <w:rFonts w:hint="eastAsia" w:ascii="宋体" w:hAnsi="宋体" w:eastAsia="宋体"/>
          <w:szCs w:val="21"/>
        </w:rPr>
        <w:t>的要求。</w:t>
      </w:r>
    </w:p>
    <w:p>
      <w:pPr>
        <w:pStyle w:val="2"/>
        <w:numPr>
          <w:ilvl w:val="0"/>
          <w:numId w:val="6"/>
        </w:numPr>
        <w:spacing w:before="0" w:after="0" w:line="720" w:lineRule="auto"/>
        <w:ind w:left="0" w:firstLine="0"/>
        <w:rPr>
          <w:rFonts w:ascii="黑体" w:hAnsi="黑体" w:eastAsia="黑体"/>
          <w:sz w:val="21"/>
          <w:szCs w:val="21"/>
          <w:lang w:val="zh-CN" w:eastAsia="zh-CN"/>
        </w:rPr>
      </w:pPr>
      <w:r>
        <w:rPr>
          <w:rFonts w:hint="eastAsia" w:ascii="黑体" w:hAnsi="黑体" w:eastAsia="黑体"/>
          <w:sz w:val="21"/>
          <w:szCs w:val="21"/>
          <w:lang w:val="zh-CN"/>
        </w:rPr>
        <w:t>教室</w:t>
      </w:r>
      <w:r>
        <w:rPr>
          <w:rFonts w:ascii="黑体" w:hAnsi="黑体" w:eastAsia="黑体"/>
          <w:sz w:val="21"/>
          <w:szCs w:val="21"/>
          <w:lang w:val="zh-CN" w:eastAsia="zh-CN"/>
        </w:rPr>
        <w:t>要求</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eastAsia="zh-CN"/>
        </w:rPr>
        <w:t>4</w:t>
      </w:r>
      <w:r>
        <w:rPr>
          <w:rFonts w:ascii="黑体" w:hAnsi="黑体"/>
          <w:kern w:val="44"/>
          <w:sz w:val="21"/>
          <w:szCs w:val="21"/>
          <w:lang w:val="zh-CN" w:eastAsia="zh-CN"/>
        </w:rPr>
        <w:t>.</w:t>
      </w:r>
      <w:r>
        <w:rPr>
          <w:rFonts w:hint="eastAsia" w:ascii="黑体" w:hAnsi="黑体"/>
          <w:kern w:val="44"/>
          <w:sz w:val="21"/>
          <w:szCs w:val="21"/>
          <w:lang w:val="zh-CN"/>
        </w:rPr>
        <w:t>1</w:t>
      </w:r>
      <w:r>
        <w:rPr>
          <w:rFonts w:ascii="黑体" w:hAnsi="黑体"/>
          <w:kern w:val="44"/>
          <w:sz w:val="21"/>
          <w:szCs w:val="21"/>
          <w:lang w:val="zh-CN" w:eastAsia="zh-CN"/>
        </w:rPr>
        <w:t xml:space="preserve">  </w:t>
      </w:r>
      <w:r>
        <w:rPr>
          <w:rFonts w:hint="eastAsia" w:ascii="黑体" w:hAnsi="黑体"/>
          <w:kern w:val="44"/>
          <w:sz w:val="21"/>
          <w:szCs w:val="21"/>
          <w:lang w:val="zh-CN" w:eastAsia="zh-CN"/>
        </w:rPr>
        <w:t>净高</w:t>
      </w:r>
    </w:p>
    <w:p>
      <w:pPr>
        <w:pStyle w:val="76"/>
        <w:spacing w:line="360" w:lineRule="auto"/>
        <w:ind w:left="0" w:firstLine="420" w:firstLineChars="200"/>
        <w:rPr>
          <w:rFonts w:hAnsi="宋体"/>
        </w:rPr>
      </w:pPr>
      <w:r>
        <w:rPr>
          <w:rFonts w:hint="eastAsia" w:ascii="宋体" w:hAnsi="宋体" w:eastAsia="宋体"/>
        </w:rPr>
        <w:t>小学数字化音乐教室最小净高应为</w:t>
      </w:r>
      <w:r>
        <w:rPr>
          <w:rFonts w:ascii="宋体" w:hAnsi="宋体" w:eastAsia="宋体"/>
        </w:rPr>
        <w:t>3.00m</w:t>
      </w:r>
      <w:r>
        <w:rPr>
          <w:rFonts w:hint="eastAsia" w:ascii="宋体" w:hAnsi="宋体" w:eastAsia="宋体"/>
        </w:rPr>
        <w:t>；初中数字化音乐教室最小净高应为</w:t>
      </w:r>
      <w:r>
        <w:rPr>
          <w:rFonts w:ascii="宋体" w:hAnsi="宋体" w:eastAsia="宋体"/>
        </w:rPr>
        <w:t>3.05m</w:t>
      </w:r>
      <w:r>
        <w:rPr>
          <w:rFonts w:hint="eastAsia" w:ascii="宋体" w:hAnsi="宋体" w:eastAsia="宋体"/>
        </w:rPr>
        <w:t>。</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eastAsia="zh-CN"/>
        </w:rPr>
        <w:t>4</w:t>
      </w:r>
      <w:r>
        <w:rPr>
          <w:rFonts w:ascii="黑体" w:hAnsi="黑体"/>
          <w:kern w:val="44"/>
          <w:sz w:val="21"/>
          <w:szCs w:val="21"/>
          <w:lang w:val="zh-CN" w:eastAsia="zh-CN"/>
        </w:rPr>
        <w:t>.</w:t>
      </w:r>
      <w:r>
        <w:rPr>
          <w:rFonts w:hint="eastAsia" w:ascii="黑体" w:hAnsi="黑体"/>
          <w:kern w:val="44"/>
          <w:sz w:val="21"/>
          <w:szCs w:val="21"/>
          <w:lang w:val="zh-CN"/>
        </w:rPr>
        <w:t>2</w:t>
      </w:r>
      <w:r>
        <w:rPr>
          <w:rFonts w:ascii="黑体" w:hAnsi="黑体"/>
          <w:kern w:val="44"/>
          <w:sz w:val="21"/>
          <w:szCs w:val="21"/>
          <w:lang w:val="zh-CN" w:eastAsia="zh-CN"/>
        </w:rPr>
        <w:t xml:space="preserve"> </w:t>
      </w:r>
      <w:r>
        <w:rPr>
          <w:rFonts w:hint="eastAsia" w:ascii="黑体" w:hAnsi="黑体"/>
          <w:kern w:val="44"/>
          <w:sz w:val="21"/>
          <w:szCs w:val="21"/>
          <w:lang w:val="zh-CN"/>
        </w:rPr>
        <w:t xml:space="preserve"> </w:t>
      </w:r>
      <w:r>
        <w:rPr>
          <w:rFonts w:hint="eastAsia" w:ascii="黑体" w:hAnsi="黑体"/>
          <w:kern w:val="44"/>
          <w:sz w:val="21"/>
          <w:szCs w:val="21"/>
          <w:lang w:val="zh-CN" w:eastAsia="zh-CN"/>
        </w:rPr>
        <w:t>窗</w:t>
      </w:r>
    </w:p>
    <w:p>
      <w:pPr>
        <w:pStyle w:val="37"/>
        <w:spacing w:line="360" w:lineRule="auto"/>
        <w:rPr>
          <w:rFonts w:hAnsi="宋体" w:cs="宋体"/>
        </w:rPr>
      </w:pPr>
      <w:r>
        <w:rPr>
          <w:rFonts w:hint="eastAsia" w:hAnsi="宋体" w:eastAsia="宋体" w:cs="Times New Roman"/>
          <w:kern w:val="0"/>
          <w:szCs w:val="20"/>
        </w:rPr>
        <w:t>应符合</w:t>
      </w:r>
      <w:r>
        <w:rPr>
          <w:rFonts w:hAnsi="宋体" w:eastAsia="宋体" w:cs="Times New Roman"/>
          <w:kern w:val="0"/>
          <w:szCs w:val="20"/>
        </w:rPr>
        <w:t>GB 50099—2011,5.1.9</w:t>
      </w:r>
      <w:r>
        <w:rPr>
          <w:rFonts w:hint="eastAsia" w:hAnsi="宋体" w:eastAsia="宋体" w:cs="Times New Roman"/>
          <w:kern w:val="0"/>
          <w:szCs w:val="20"/>
        </w:rPr>
        <w:t>的规定。</w:t>
      </w:r>
      <w:r>
        <w:rPr>
          <w:rFonts w:hint="eastAsia" w:hAnsi="宋体" w:cs="宋体"/>
        </w:rPr>
        <w:t>内窗应设遮光帘，材质应与室内声学环境设计合并考虑。</w:t>
      </w:r>
    </w:p>
    <w:p>
      <w:pPr>
        <w:pStyle w:val="3"/>
        <w:numPr>
          <w:ilvl w:val="0"/>
          <w:numId w:val="7"/>
        </w:numPr>
        <w:spacing w:before="0" w:after="0" w:line="480" w:lineRule="auto"/>
        <w:rPr>
          <w:rFonts w:ascii="黑体" w:hAnsi="黑体"/>
          <w:kern w:val="44"/>
          <w:sz w:val="21"/>
          <w:szCs w:val="21"/>
          <w:lang w:val="zh-CN" w:eastAsia="zh-CN"/>
        </w:rPr>
      </w:pPr>
      <w:r>
        <w:rPr>
          <w:rFonts w:hint="eastAsia" w:ascii="黑体" w:hAnsi="黑体"/>
          <w:kern w:val="44"/>
          <w:sz w:val="21"/>
          <w:szCs w:val="21"/>
          <w:lang w:val="zh-CN" w:eastAsia="zh-CN"/>
        </w:rPr>
        <w:t>4</w:t>
      </w:r>
      <w:r>
        <w:rPr>
          <w:rFonts w:ascii="黑体" w:hAnsi="黑体"/>
          <w:kern w:val="44"/>
          <w:sz w:val="21"/>
          <w:szCs w:val="21"/>
          <w:lang w:val="zh-CN" w:eastAsia="zh-CN"/>
        </w:rPr>
        <w:t>.</w:t>
      </w:r>
      <w:r>
        <w:rPr>
          <w:rFonts w:hint="eastAsia" w:ascii="黑体" w:hAnsi="黑体"/>
          <w:kern w:val="44"/>
          <w:sz w:val="21"/>
          <w:szCs w:val="21"/>
          <w:lang w:val="zh-CN"/>
        </w:rPr>
        <w:t xml:space="preserve">3  </w:t>
      </w:r>
      <w:r>
        <w:rPr>
          <w:rFonts w:hint="eastAsia" w:ascii="黑体" w:hAnsi="黑体"/>
          <w:kern w:val="44"/>
          <w:sz w:val="21"/>
          <w:szCs w:val="21"/>
          <w:lang w:val="zh-CN" w:eastAsia="zh-CN"/>
        </w:rPr>
        <w:t>地面、顶棚和墙面</w:t>
      </w:r>
    </w:p>
    <w:p>
      <w:pPr>
        <w:pStyle w:val="37"/>
        <w:spacing w:line="360" w:lineRule="auto"/>
        <w:rPr>
          <w:rFonts w:cs="黑体" w:asciiTheme="minorEastAsia" w:hAnsiTheme="minorEastAsia"/>
        </w:rPr>
      </w:pPr>
      <w:r>
        <w:rPr>
          <w:rFonts w:hint="eastAsia" w:cs="黑体" w:asciiTheme="minorEastAsia" w:hAnsiTheme="minorEastAsia"/>
        </w:rPr>
        <w:t>地面应进行防滑处理，材料应与室内声学环境设计合并考虑。顶棚和墙面除环保、美观要求外，选材和装修应与室内声学环境设计合并考虑。</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rPr>
        <w:t>4</w:t>
      </w:r>
      <w:r>
        <w:rPr>
          <w:rFonts w:ascii="黑体" w:hAnsi="黑体"/>
          <w:kern w:val="44"/>
          <w:sz w:val="21"/>
          <w:szCs w:val="21"/>
          <w:lang w:val="zh-CN" w:eastAsia="zh-CN"/>
        </w:rPr>
        <w:t>.</w:t>
      </w:r>
      <w:r>
        <w:rPr>
          <w:rFonts w:hint="eastAsia" w:ascii="黑体" w:hAnsi="黑体"/>
          <w:kern w:val="44"/>
          <w:sz w:val="21"/>
          <w:szCs w:val="21"/>
          <w:lang w:val="zh-CN"/>
        </w:rPr>
        <w:t xml:space="preserve">4 </w:t>
      </w:r>
      <w:r>
        <w:rPr>
          <w:rFonts w:hint="eastAsia" w:ascii="黑体" w:hAnsi="黑体"/>
          <w:kern w:val="44"/>
          <w:sz w:val="21"/>
          <w:szCs w:val="21"/>
          <w:lang w:val="zh-CN" w:eastAsia="zh-CN"/>
        </w:rPr>
        <w:t>空气质量</w:t>
      </w:r>
    </w:p>
    <w:p>
      <w:pPr>
        <w:pStyle w:val="37"/>
        <w:spacing w:line="360" w:lineRule="auto"/>
        <w:rPr>
          <w:rFonts w:hAnsi="宋体" w:cs="宋体"/>
        </w:rPr>
      </w:pPr>
      <w:r>
        <w:rPr>
          <w:rFonts w:hint="eastAsia" w:hAnsi="宋体" w:cs="宋体"/>
        </w:rPr>
        <w:t>数字化音乐教室内空气质量标准，应符合</w:t>
      </w:r>
      <w:r>
        <w:rPr>
          <w:rFonts w:hAnsi="宋体"/>
          <w:szCs w:val="21"/>
        </w:rPr>
        <w:t>GB/T 18883</w:t>
      </w:r>
      <w:r>
        <w:rPr>
          <w:rFonts w:hint="eastAsia" w:hAnsi="宋体" w:cs="宋体"/>
        </w:rPr>
        <w:t>的规定。</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rPr>
        <w:t>4</w:t>
      </w:r>
      <w:r>
        <w:rPr>
          <w:rFonts w:ascii="黑体" w:hAnsi="黑体"/>
          <w:kern w:val="44"/>
          <w:sz w:val="21"/>
          <w:szCs w:val="21"/>
          <w:lang w:val="zh-CN" w:eastAsia="zh-CN"/>
        </w:rPr>
        <w:t>.</w:t>
      </w:r>
      <w:r>
        <w:rPr>
          <w:rFonts w:hint="eastAsia" w:ascii="黑体" w:hAnsi="黑体"/>
          <w:kern w:val="44"/>
          <w:sz w:val="21"/>
          <w:szCs w:val="21"/>
          <w:lang w:val="zh-CN"/>
        </w:rPr>
        <w:t>5</w:t>
      </w:r>
      <w:r>
        <w:rPr>
          <w:rFonts w:ascii="黑体" w:hAnsi="黑体"/>
          <w:kern w:val="44"/>
          <w:sz w:val="21"/>
          <w:szCs w:val="21"/>
          <w:lang w:val="zh-CN" w:eastAsia="zh-CN"/>
        </w:rPr>
        <w:t xml:space="preserve">  </w:t>
      </w:r>
      <w:r>
        <w:rPr>
          <w:rFonts w:hint="eastAsia" w:ascii="黑体" w:hAnsi="黑体"/>
          <w:kern w:val="44"/>
          <w:sz w:val="21"/>
          <w:szCs w:val="21"/>
          <w:lang w:val="zh-CN" w:eastAsia="zh-CN"/>
        </w:rPr>
        <w:t>通风与换气</w:t>
      </w:r>
    </w:p>
    <w:p>
      <w:pPr>
        <w:pStyle w:val="37"/>
        <w:spacing w:line="360" w:lineRule="auto"/>
        <w:rPr>
          <w:rFonts w:cs="黑体" w:asciiTheme="minorEastAsia" w:hAnsiTheme="minorEastAsia"/>
        </w:rPr>
      </w:pPr>
      <w:r>
        <w:rPr>
          <w:rFonts w:hint="eastAsia" w:cs="黑体" w:asciiTheme="minorEastAsia" w:hAnsiTheme="minorEastAsia"/>
        </w:rPr>
        <w:t>应符合</w:t>
      </w:r>
      <w:r>
        <w:rPr>
          <w:rFonts w:cs="黑体" w:asciiTheme="minorEastAsia" w:hAnsiTheme="minorEastAsia"/>
        </w:rPr>
        <w:t>GB/T 17226</w:t>
      </w:r>
      <w:r>
        <w:rPr>
          <w:rFonts w:hint="eastAsia" w:cs="黑体" w:asciiTheme="minorEastAsia" w:hAnsiTheme="minorEastAsia"/>
        </w:rPr>
        <w:t>的规定。当采用换气次数确定室内通风量时，数字化音乐教室的每小时最小换气次数，小学不宜低于</w:t>
      </w:r>
      <w:r>
        <w:rPr>
          <w:rFonts w:cs="黑体" w:asciiTheme="minorEastAsia" w:hAnsiTheme="minorEastAsia"/>
        </w:rPr>
        <w:t>2.5</w:t>
      </w:r>
      <w:r>
        <w:rPr>
          <w:rFonts w:hint="eastAsia" w:cs="黑体" w:asciiTheme="minorEastAsia" w:hAnsiTheme="minorEastAsia"/>
        </w:rPr>
        <w:t>次，初中不宜低于</w:t>
      </w:r>
      <w:r>
        <w:rPr>
          <w:rFonts w:cs="黑体" w:asciiTheme="minorEastAsia" w:hAnsiTheme="minorEastAsia"/>
        </w:rPr>
        <w:t>3.5</w:t>
      </w:r>
      <w:r>
        <w:rPr>
          <w:rFonts w:hint="eastAsia" w:cs="黑体" w:asciiTheme="minorEastAsia" w:hAnsiTheme="minorEastAsia"/>
        </w:rPr>
        <w:t>次。</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rPr>
        <w:t>4</w:t>
      </w:r>
      <w:r>
        <w:rPr>
          <w:rFonts w:ascii="黑体" w:hAnsi="黑体"/>
          <w:kern w:val="44"/>
          <w:sz w:val="21"/>
          <w:szCs w:val="21"/>
          <w:lang w:val="zh-CN" w:eastAsia="zh-CN"/>
        </w:rPr>
        <w:t>.</w:t>
      </w:r>
      <w:r>
        <w:rPr>
          <w:rFonts w:hint="eastAsia" w:ascii="黑体" w:hAnsi="黑体"/>
          <w:kern w:val="44"/>
          <w:sz w:val="21"/>
          <w:szCs w:val="21"/>
          <w:lang w:val="zh-CN"/>
        </w:rPr>
        <w:t>6</w:t>
      </w:r>
      <w:r>
        <w:rPr>
          <w:rFonts w:ascii="黑体" w:hAnsi="黑体"/>
          <w:kern w:val="44"/>
          <w:sz w:val="21"/>
          <w:szCs w:val="21"/>
          <w:lang w:val="zh-CN" w:eastAsia="zh-CN"/>
        </w:rPr>
        <w:t xml:space="preserve">  </w:t>
      </w:r>
      <w:r>
        <w:rPr>
          <w:rFonts w:hint="eastAsia" w:ascii="黑体" w:hAnsi="黑体"/>
          <w:kern w:val="44"/>
          <w:sz w:val="21"/>
          <w:szCs w:val="21"/>
          <w:lang w:val="zh-CN" w:eastAsia="zh-CN"/>
        </w:rPr>
        <w:t>采光与照明</w:t>
      </w:r>
    </w:p>
    <w:p>
      <w:pPr>
        <w:pStyle w:val="37"/>
        <w:spacing w:line="360" w:lineRule="auto"/>
        <w:rPr>
          <w:rFonts w:hAnsi="宋体"/>
          <w:color w:val="000000"/>
        </w:rPr>
      </w:pPr>
      <w:r>
        <w:rPr>
          <w:rFonts w:hint="eastAsia" w:cs="黑体" w:asciiTheme="minorEastAsia" w:hAnsiTheme="minorEastAsia"/>
        </w:rPr>
        <w:t>应符合</w:t>
      </w:r>
      <w:r>
        <w:rPr>
          <w:rFonts w:cs="黑体" w:asciiTheme="minorEastAsia" w:hAnsiTheme="minorEastAsia"/>
        </w:rPr>
        <w:t>GB 50099—2011</w:t>
      </w:r>
      <w:r>
        <w:rPr>
          <w:rFonts w:hint="eastAsia" w:cs="黑体" w:asciiTheme="minorEastAsia" w:hAnsiTheme="minorEastAsia"/>
        </w:rPr>
        <w:t>中</w:t>
      </w:r>
      <w:r>
        <w:rPr>
          <w:rFonts w:cs="黑体" w:asciiTheme="minorEastAsia" w:hAnsiTheme="minorEastAsia"/>
        </w:rPr>
        <w:t>9.2</w:t>
      </w:r>
      <w:r>
        <w:rPr>
          <w:rFonts w:hint="eastAsia" w:cs="黑体" w:asciiTheme="minorEastAsia" w:hAnsiTheme="minorEastAsia"/>
        </w:rPr>
        <w:t>、</w:t>
      </w:r>
      <w:r>
        <w:rPr>
          <w:rFonts w:cs="黑体" w:asciiTheme="minorEastAsia" w:hAnsiTheme="minorEastAsia"/>
        </w:rPr>
        <w:t>9.3</w:t>
      </w:r>
      <w:r>
        <w:rPr>
          <w:rFonts w:hint="eastAsia" w:cs="黑体" w:asciiTheme="minorEastAsia" w:hAnsiTheme="minorEastAsia"/>
        </w:rPr>
        <w:t>中对数字化音乐教室的规定。</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rPr>
        <w:t>4</w:t>
      </w:r>
      <w:r>
        <w:rPr>
          <w:rFonts w:ascii="黑体" w:hAnsi="黑体"/>
          <w:kern w:val="44"/>
          <w:sz w:val="21"/>
          <w:szCs w:val="21"/>
          <w:lang w:val="zh-CN" w:eastAsia="zh-CN"/>
        </w:rPr>
        <w:t>.</w:t>
      </w:r>
      <w:r>
        <w:rPr>
          <w:rFonts w:hint="eastAsia" w:ascii="黑体" w:hAnsi="黑体"/>
          <w:kern w:val="44"/>
          <w:sz w:val="21"/>
          <w:szCs w:val="21"/>
          <w:lang w:val="zh-CN"/>
        </w:rPr>
        <w:t>7</w:t>
      </w:r>
      <w:r>
        <w:rPr>
          <w:rFonts w:ascii="黑体" w:hAnsi="黑体"/>
          <w:kern w:val="44"/>
          <w:sz w:val="21"/>
          <w:szCs w:val="21"/>
          <w:lang w:val="zh-CN" w:eastAsia="zh-CN"/>
        </w:rPr>
        <w:t xml:space="preserve">  </w:t>
      </w:r>
      <w:r>
        <w:rPr>
          <w:rFonts w:hint="eastAsia" w:ascii="黑体" w:hAnsi="黑体"/>
          <w:kern w:val="44"/>
          <w:sz w:val="21"/>
          <w:szCs w:val="21"/>
          <w:lang w:val="zh-CN" w:eastAsia="zh-CN"/>
        </w:rPr>
        <w:t>温度与湿度</w:t>
      </w:r>
    </w:p>
    <w:p>
      <w:pPr>
        <w:pStyle w:val="37"/>
        <w:spacing w:line="360" w:lineRule="auto"/>
        <w:rPr>
          <w:rFonts w:cs="黑体" w:asciiTheme="minorEastAsia" w:hAnsiTheme="minorEastAsia"/>
        </w:rPr>
      </w:pPr>
      <w:r>
        <w:rPr>
          <w:rFonts w:hint="eastAsia" w:cs="黑体" w:asciiTheme="minorEastAsia" w:hAnsiTheme="minorEastAsia"/>
        </w:rPr>
        <w:t>综合人体舒适度与教学设备的使用要求，数字化音乐教室环境温度应为</w:t>
      </w:r>
      <w:r>
        <w:rPr>
          <w:rFonts w:cs="黑体" w:asciiTheme="minorEastAsia" w:hAnsiTheme="minorEastAsia"/>
        </w:rPr>
        <w:t>18</w:t>
      </w:r>
      <w:r>
        <w:rPr>
          <w:rFonts w:hint="eastAsia" w:cs="黑体" w:asciiTheme="minorEastAsia" w:hAnsiTheme="minorEastAsia"/>
        </w:rPr>
        <w:t>℃至</w:t>
      </w:r>
      <w:r>
        <w:rPr>
          <w:rFonts w:cs="黑体" w:asciiTheme="minorEastAsia" w:hAnsiTheme="minorEastAsia"/>
        </w:rPr>
        <w:t>35</w:t>
      </w:r>
      <w:r>
        <w:rPr>
          <w:rFonts w:hint="eastAsia" w:cs="黑体" w:asciiTheme="minorEastAsia" w:hAnsiTheme="minorEastAsia"/>
        </w:rPr>
        <w:t>℃，相对湿度应为</w:t>
      </w:r>
      <w:r>
        <w:rPr>
          <w:rFonts w:cs="黑体" w:asciiTheme="minorEastAsia" w:hAnsiTheme="minorEastAsia"/>
        </w:rPr>
        <w:t>30%</w:t>
      </w:r>
      <w:r>
        <w:rPr>
          <w:rFonts w:hint="eastAsia" w:cs="黑体" w:asciiTheme="minorEastAsia" w:hAnsiTheme="minorEastAsia"/>
        </w:rPr>
        <w:t>至</w:t>
      </w:r>
      <w:r>
        <w:rPr>
          <w:rFonts w:cs="黑体" w:asciiTheme="minorEastAsia" w:hAnsiTheme="minorEastAsia"/>
        </w:rPr>
        <w:t>80%</w:t>
      </w:r>
      <w:r>
        <w:rPr>
          <w:rFonts w:hint="eastAsia" w:cs="黑体" w:asciiTheme="minorEastAsia" w:hAnsiTheme="minorEastAsia"/>
        </w:rPr>
        <w:t>。</w:t>
      </w:r>
    </w:p>
    <w:p>
      <w:pPr>
        <w:pStyle w:val="3"/>
        <w:spacing w:before="0" w:after="0" w:line="480" w:lineRule="auto"/>
        <w:rPr>
          <w:rFonts w:ascii="黑体" w:hAnsi="黑体"/>
          <w:kern w:val="44"/>
          <w:sz w:val="21"/>
          <w:szCs w:val="21"/>
          <w:lang w:val="zh-CN" w:eastAsia="zh-CN"/>
        </w:rPr>
      </w:pPr>
      <w:r>
        <w:rPr>
          <w:rFonts w:hint="eastAsia" w:ascii="黑体" w:hAnsi="黑体"/>
          <w:kern w:val="44"/>
          <w:sz w:val="21"/>
          <w:szCs w:val="21"/>
          <w:lang w:val="zh-CN"/>
        </w:rPr>
        <w:t>4</w:t>
      </w:r>
      <w:r>
        <w:rPr>
          <w:rFonts w:hint="eastAsia" w:ascii="黑体" w:hAnsi="黑体"/>
          <w:kern w:val="44"/>
          <w:sz w:val="21"/>
          <w:szCs w:val="21"/>
          <w:lang w:val="zh-CN" w:eastAsia="zh-CN"/>
        </w:rPr>
        <w:t>.</w:t>
      </w:r>
      <w:r>
        <w:rPr>
          <w:rFonts w:hint="eastAsia" w:ascii="黑体" w:hAnsi="黑体"/>
          <w:kern w:val="44"/>
          <w:sz w:val="21"/>
          <w:szCs w:val="21"/>
          <w:lang w:val="zh-CN"/>
        </w:rPr>
        <w:t>8</w:t>
      </w:r>
      <w:r>
        <w:rPr>
          <w:rFonts w:hint="eastAsia" w:ascii="黑体" w:hAnsi="黑体"/>
          <w:kern w:val="44"/>
          <w:sz w:val="21"/>
          <w:szCs w:val="21"/>
          <w:lang w:val="zh-CN" w:eastAsia="zh-CN"/>
        </w:rPr>
        <w:t xml:space="preserve">   建筑声学要求</w:t>
      </w:r>
    </w:p>
    <w:p>
      <w:pPr>
        <w:pStyle w:val="75"/>
        <w:spacing w:before="156" w:beforeLines="50" w:after="156" w:afterLines="50" w:line="360" w:lineRule="exact"/>
        <w:ind w:left="0" w:firstLine="0"/>
        <w:rPr>
          <w:b/>
        </w:rPr>
      </w:pPr>
      <w:r>
        <w:rPr>
          <w:rFonts w:hint="eastAsia"/>
          <w:b/>
        </w:rPr>
        <w:t>4.8.1</w:t>
      </w:r>
      <w:r>
        <w:rPr>
          <w:b/>
        </w:rPr>
        <w:t xml:space="preserve">  </w:t>
      </w:r>
      <w:r>
        <w:rPr>
          <w:rFonts w:hint="eastAsia"/>
          <w:b/>
        </w:rPr>
        <w:t>背景噪声</w:t>
      </w:r>
    </w:p>
    <w:p>
      <w:pPr>
        <w:pStyle w:val="37"/>
        <w:spacing w:line="360" w:lineRule="auto"/>
        <w:rPr>
          <w:rFonts w:hAnsi="宋体" w:eastAsia="宋体"/>
          <w:szCs w:val="21"/>
        </w:rPr>
      </w:pPr>
      <w:r>
        <w:rPr>
          <w:rFonts w:hint="eastAsia" w:cs="黑体" w:asciiTheme="minorEastAsia" w:hAnsiTheme="minorEastAsia"/>
        </w:rPr>
        <w:t>应符合</w:t>
      </w:r>
      <w:r>
        <w:rPr>
          <w:rFonts w:cs="黑体" w:asciiTheme="minorEastAsia" w:hAnsiTheme="minorEastAsia"/>
        </w:rPr>
        <w:t>GB 50118—2010</w:t>
      </w:r>
      <w:r>
        <w:rPr>
          <w:rFonts w:hint="eastAsia" w:cs="黑体" w:asciiTheme="minorEastAsia" w:hAnsiTheme="minorEastAsia"/>
        </w:rPr>
        <w:t>表</w:t>
      </w:r>
      <w:r>
        <w:rPr>
          <w:rFonts w:cs="黑体" w:asciiTheme="minorEastAsia" w:hAnsiTheme="minorEastAsia"/>
        </w:rPr>
        <w:t>5.1.1</w:t>
      </w:r>
      <w:r>
        <w:rPr>
          <w:rFonts w:hint="eastAsia" w:cs="黑体" w:asciiTheme="minorEastAsia" w:hAnsiTheme="minorEastAsia"/>
        </w:rPr>
        <w:t>中规定的允许噪声级</w:t>
      </w:r>
      <w:r>
        <w:rPr>
          <w:rFonts w:cs="黑体" w:asciiTheme="minorEastAsia" w:hAnsiTheme="minorEastAsia"/>
        </w:rPr>
        <w:t>(A</w:t>
      </w:r>
      <w:r>
        <w:rPr>
          <w:rFonts w:hint="eastAsia" w:cs="黑体" w:asciiTheme="minorEastAsia" w:hAnsiTheme="minorEastAsia"/>
        </w:rPr>
        <w:t>声级</w:t>
      </w:r>
      <w:r>
        <w:rPr>
          <w:rFonts w:cs="黑体" w:asciiTheme="minorEastAsia" w:hAnsiTheme="minorEastAsia"/>
        </w:rPr>
        <w:t>)</w:t>
      </w:r>
      <w:r>
        <w:rPr>
          <w:rFonts w:hint="eastAsia" w:cs="黑体" w:asciiTheme="minorEastAsia" w:hAnsiTheme="minorEastAsia"/>
        </w:rPr>
        <w:t>不大于</w:t>
      </w:r>
      <w:r>
        <w:rPr>
          <w:rFonts w:cs="黑体" w:asciiTheme="minorEastAsia" w:hAnsiTheme="minorEastAsia"/>
        </w:rPr>
        <w:t>45dB</w:t>
      </w:r>
      <w:r>
        <w:rPr>
          <w:rFonts w:hint="eastAsia" w:cs="黑体" w:asciiTheme="minorEastAsia" w:hAnsiTheme="minorEastAsia"/>
        </w:rPr>
        <w:t>。</w:t>
      </w:r>
    </w:p>
    <w:p>
      <w:pPr>
        <w:pStyle w:val="75"/>
        <w:spacing w:before="156" w:beforeLines="50" w:after="156" w:afterLines="50" w:line="360" w:lineRule="exact"/>
        <w:ind w:left="0" w:firstLine="0"/>
        <w:rPr>
          <w:b/>
        </w:rPr>
      </w:pPr>
      <w:r>
        <w:rPr>
          <w:rFonts w:hint="eastAsia"/>
          <w:b/>
        </w:rPr>
        <w:t>4.8.2  隔声性能</w:t>
      </w:r>
    </w:p>
    <w:p>
      <w:pPr>
        <w:pStyle w:val="37"/>
        <w:spacing w:line="360" w:lineRule="auto"/>
        <w:rPr>
          <w:rFonts w:cs="黑体" w:asciiTheme="minorEastAsia" w:hAnsiTheme="minorEastAsia"/>
        </w:rPr>
      </w:pPr>
      <w:r>
        <w:rPr>
          <w:rFonts w:hint="eastAsia" w:cs="黑体" w:asciiTheme="minorEastAsia" w:hAnsiTheme="minorEastAsia"/>
        </w:rPr>
        <w:t>音乐教室隔墙、楼板的空气声隔声性能，应符合</w:t>
      </w:r>
      <w:r>
        <w:rPr>
          <w:rFonts w:cs="黑体" w:asciiTheme="minorEastAsia" w:hAnsiTheme="minorEastAsia"/>
        </w:rPr>
        <w:t>GB 50118—2010</w:t>
      </w:r>
      <w:r>
        <w:rPr>
          <w:rFonts w:hint="eastAsia" w:cs="黑体" w:asciiTheme="minorEastAsia" w:hAnsiTheme="minorEastAsia"/>
        </w:rPr>
        <w:t>表</w:t>
      </w:r>
      <w:r>
        <w:rPr>
          <w:rFonts w:cs="黑体" w:asciiTheme="minorEastAsia" w:hAnsiTheme="minorEastAsia"/>
        </w:rPr>
        <w:t>5.2.1</w:t>
      </w:r>
      <w:r>
        <w:rPr>
          <w:rFonts w:hint="eastAsia" w:cs="黑体" w:asciiTheme="minorEastAsia" w:hAnsiTheme="minorEastAsia"/>
        </w:rPr>
        <w:t>中规定的</w:t>
      </w:r>
      <w:r>
        <w:rPr>
          <w:rFonts w:cs="黑体" w:asciiTheme="minorEastAsia" w:hAnsiTheme="minorEastAsia"/>
        </w:rPr>
        <w:t>Rw</w:t>
      </w:r>
      <w:r>
        <w:rPr>
          <w:rFonts w:hint="eastAsia" w:cs="黑体" w:asciiTheme="minorEastAsia" w:hAnsiTheme="minorEastAsia"/>
        </w:rPr>
        <w:t>与</w:t>
      </w:r>
      <w:r>
        <w:rPr>
          <w:rFonts w:cs="黑体" w:asciiTheme="minorEastAsia" w:hAnsiTheme="minorEastAsia"/>
        </w:rPr>
        <w:t>C</w:t>
      </w:r>
      <w:r>
        <w:rPr>
          <w:rFonts w:hint="eastAsia" w:cs="黑体" w:asciiTheme="minorEastAsia" w:hAnsiTheme="minorEastAsia"/>
        </w:rPr>
        <w:t>之和大于</w:t>
      </w:r>
      <w:r>
        <w:rPr>
          <w:rFonts w:cs="黑体" w:asciiTheme="minorEastAsia" w:hAnsiTheme="minorEastAsia"/>
        </w:rPr>
        <w:t>45dB</w:t>
      </w:r>
      <w:r>
        <w:rPr>
          <w:rFonts w:hint="eastAsia" w:cs="黑体" w:asciiTheme="minorEastAsia" w:hAnsiTheme="minorEastAsia"/>
        </w:rPr>
        <w:t>。音乐教室与相邻房间之间的空气声隔声性能，应不小于</w:t>
      </w:r>
      <w:r>
        <w:rPr>
          <w:rFonts w:cs="黑体" w:asciiTheme="minorEastAsia" w:hAnsiTheme="minorEastAsia"/>
        </w:rPr>
        <w:t>45dB</w:t>
      </w:r>
      <w:r>
        <w:rPr>
          <w:rFonts w:hint="eastAsia" w:cs="黑体" w:asciiTheme="minorEastAsia" w:hAnsiTheme="minorEastAsia"/>
        </w:rPr>
        <w:t>。音乐教室外墙、外窗和门的空气声隔声性能，应符合</w:t>
      </w:r>
      <w:r>
        <w:rPr>
          <w:rFonts w:cs="黑体" w:asciiTheme="minorEastAsia" w:hAnsiTheme="minorEastAsia"/>
        </w:rPr>
        <w:t>GB 50118—2010</w:t>
      </w:r>
      <w:r>
        <w:rPr>
          <w:rFonts w:hint="eastAsia" w:cs="黑体" w:asciiTheme="minorEastAsia" w:hAnsiTheme="minorEastAsia"/>
        </w:rPr>
        <w:t>表</w:t>
      </w:r>
      <w:r>
        <w:rPr>
          <w:rFonts w:cs="黑体" w:asciiTheme="minorEastAsia" w:hAnsiTheme="minorEastAsia"/>
        </w:rPr>
        <w:t>5.2.3</w:t>
      </w:r>
      <w:r>
        <w:rPr>
          <w:rFonts w:hint="eastAsia" w:cs="黑体" w:asciiTheme="minorEastAsia" w:hAnsiTheme="minorEastAsia"/>
        </w:rPr>
        <w:t>中规定的外墙</w:t>
      </w:r>
      <w:r>
        <w:rPr>
          <w:rFonts w:cs="黑体" w:asciiTheme="minorEastAsia" w:hAnsiTheme="minorEastAsia"/>
        </w:rPr>
        <w:t>Rw</w:t>
      </w:r>
      <w:r>
        <w:rPr>
          <w:rFonts w:hint="eastAsia" w:cs="黑体" w:asciiTheme="minorEastAsia" w:hAnsiTheme="minorEastAsia"/>
        </w:rPr>
        <w:t>与</w:t>
      </w:r>
      <w:r>
        <w:rPr>
          <w:rFonts w:cs="黑体" w:asciiTheme="minorEastAsia" w:hAnsiTheme="minorEastAsia"/>
        </w:rPr>
        <w:t>Ctr</w:t>
      </w:r>
      <w:r>
        <w:rPr>
          <w:rFonts w:hint="eastAsia" w:cs="黑体" w:asciiTheme="minorEastAsia" w:hAnsiTheme="minorEastAsia"/>
        </w:rPr>
        <w:t>之和不小于</w:t>
      </w:r>
      <w:r>
        <w:rPr>
          <w:rFonts w:cs="黑体" w:asciiTheme="minorEastAsia" w:hAnsiTheme="minorEastAsia"/>
        </w:rPr>
        <w:t>45dB</w:t>
      </w:r>
      <w:r>
        <w:rPr>
          <w:rFonts w:hint="eastAsia" w:cs="黑体" w:asciiTheme="minorEastAsia" w:hAnsiTheme="minorEastAsia"/>
        </w:rPr>
        <w:t>；临交通干线的外窗</w:t>
      </w:r>
      <w:r>
        <w:rPr>
          <w:rFonts w:cs="黑体" w:asciiTheme="minorEastAsia" w:hAnsiTheme="minorEastAsia"/>
        </w:rPr>
        <w:t>Rw</w:t>
      </w:r>
      <w:r>
        <w:rPr>
          <w:rFonts w:hint="eastAsia" w:cs="黑体" w:asciiTheme="minorEastAsia" w:hAnsiTheme="minorEastAsia"/>
        </w:rPr>
        <w:t>与</w:t>
      </w:r>
      <w:r>
        <w:rPr>
          <w:rFonts w:cs="黑体" w:asciiTheme="minorEastAsia" w:hAnsiTheme="minorEastAsia"/>
        </w:rPr>
        <w:t>Ctr</w:t>
      </w:r>
      <w:r>
        <w:rPr>
          <w:rFonts w:hint="eastAsia" w:cs="黑体" w:asciiTheme="minorEastAsia" w:hAnsiTheme="minorEastAsia"/>
        </w:rPr>
        <w:t>之和不小于</w:t>
      </w:r>
      <w:r>
        <w:rPr>
          <w:rFonts w:cs="黑体" w:asciiTheme="minorEastAsia" w:hAnsiTheme="minorEastAsia"/>
        </w:rPr>
        <w:t>30dB</w:t>
      </w:r>
      <w:r>
        <w:rPr>
          <w:rFonts w:hint="eastAsia" w:cs="黑体" w:asciiTheme="minorEastAsia" w:hAnsiTheme="minorEastAsia"/>
        </w:rPr>
        <w:t>；其它外窗、门</w:t>
      </w:r>
      <w:r>
        <w:rPr>
          <w:rFonts w:cs="黑体" w:asciiTheme="minorEastAsia" w:hAnsiTheme="minorEastAsia"/>
        </w:rPr>
        <w:t>Rw</w:t>
      </w:r>
      <w:r>
        <w:rPr>
          <w:rFonts w:hint="eastAsia" w:cs="黑体" w:asciiTheme="minorEastAsia" w:hAnsiTheme="minorEastAsia"/>
        </w:rPr>
        <w:t>与</w:t>
      </w:r>
      <w:r>
        <w:rPr>
          <w:rFonts w:cs="黑体" w:asciiTheme="minorEastAsia" w:hAnsiTheme="minorEastAsia"/>
        </w:rPr>
        <w:t>Ctr</w:t>
      </w:r>
      <w:r>
        <w:rPr>
          <w:rFonts w:hint="eastAsia" w:cs="黑体" w:asciiTheme="minorEastAsia" w:hAnsiTheme="minorEastAsia"/>
        </w:rPr>
        <w:t>之和不小于</w:t>
      </w:r>
      <w:r>
        <w:rPr>
          <w:rFonts w:cs="黑体" w:asciiTheme="minorEastAsia" w:hAnsiTheme="minorEastAsia"/>
        </w:rPr>
        <w:t>25dB</w:t>
      </w:r>
      <w:r>
        <w:rPr>
          <w:rFonts w:hint="eastAsia" w:cs="黑体" w:asciiTheme="minorEastAsia" w:hAnsiTheme="minorEastAsia"/>
        </w:rPr>
        <w:t>。</w:t>
      </w:r>
    </w:p>
    <w:p>
      <w:pPr>
        <w:pStyle w:val="37"/>
        <w:spacing w:line="360" w:lineRule="auto"/>
        <w:rPr>
          <w:rFonts w:cs="黑体" w:asciiTheme="minorEastAsia" w:hAnsiTheme="minorEastAsia"/>
        </w:rPr>
      </w:pPr>
      <w:r>
        <w:rPr>
          <w:rFonts w:hint="eastAsia" w:cs="黑体" w:asciiTheme="minorEastAsia" w:hAnsiTheme="minorEastAsia"/>
        </w:rPr>
        <w:t>音乐教室楼板的撞击声隔声性能，应不大于</w:t>
      </w:r>
      <w:r>
        <w:rPr>
          <w:rFonts w:cs="黑体" w:asciiTheme="minorEastAsia" w:hAnsiTheme="minorEastAsia"/>
        </w:rPr>
        <w:t>65dB</w:t>
      </w:r>
      <w:r>
        <w:rPr>
          <w:rFonts w:hint="eastAsia" w:cs="黑体" w:asciiTheme="minorEastAsia" w:hAnsiTheme="minorEastAsia"/>
        </w:rPr>
        <w:t>。</w:t>
      </w:r>
    </w:p>
    <w:p>
      <w:pPr>
        <w:pStyle w:val="75"/>
        <w:spacing w:before="156" w:beforeLines="50" w:after="156" w:afterLines="50" w:line="360" w:lineRule="exact"/>
        <w:ind w:left="0" w:firstLine="0"/>
        <w:rPr>
          <w:b/>
        </w:rPr>
      </w:pPr>
      <w:r>
        <w:rPr>
          <w:rFonts w:hint="eastAsia"/>
          <w:b/>
        </w:rPr>
        <w:t>4.8</w:t>
      </w:r>
      <w:r>
        <w:rPr>
          <w:b/>
        </w:rPr>
        <w:t xml:space="preserve">.3  </w:t>
      </w:r>
      <w:r>
        <w:rPr>
          <w:rFonts w:hint="eastAsia"/>
          <w:b/>
        </w:rPr>
        <w:t>混响时间</w:t>
      </w:r>
    </w:p>
    <w:p>
      <w:pPr>
        <w:pStyle w:val="37"/>
        <w:spacing w:line="360" w:lineRule="auto"/>
        <w:rPr>
          <w:rFonts w:cs="黑体" w:asciiTheme="minorEastAsia" w:hAnsiTheme="minorEastAsia"/>
        </w:rPr>
      </w:pPr>
      <w:r>
        <w:rPr>
          <w:rFonts w:hint="eastAsia" w:cs="黑体" w:asciiTheme="minorEastAsia" w:hAnsiTheme="minorEastAsia"/>
        </w:rPr>
        <w:t>应符合</w:t>
      </w:r>
      <w:r>
        <w:rPr>
          <w:rFonts w:cs="黑体" w:asciiTheme="minorEastAsia" w:hAnsiTheme="minorEastAsia"/>
        </w:rPr>
        <w:t>GB 50118—2010</w:t>
      </w:r>
      <w:r>
        <w:rPr>
          <w:rFonts w:hint="eastAsia" w:cs="黑体" w:asciiTheme="minorEastAsia" w:hAnsiTheme="minorEastAsia"/>
        </w:rPr>
        <w:t>表</w:t>
      </w:r>
      <w:r>
        <w:rPr>
          <w:rFonts w:cs="黑体" w:asciiTheme="minorEastAsia" w:hAnsiTheme="minorEastAsia"/>
        </w:rPr>
        <w:t>5.3.4</w:t>
      </w:r>
      <w:r>
        <w:rPr>
          <w:rFonts w:hint="eastAsia" w:cs="黑体" w:asciiTheme="minorEastAsia" w:hAnsiTheme="minorEastAsia"/>
        </w:rPr>
        <w:t>中对音乐教室的规定。</w:t>
      </w:r>
    </w:p>
    <w:p>
      <w:pPr>
        <w:pStyle w:val="2"/>
        <w:numPr>
          <w:ilvl w:val="0"/>
          <w:numId w:val="6"/>
        </w:numPr>
        <w:spacing w:before="0" w:after="0" w:line="720" w:lineRule="auto"/>
        <w:ind w:left="0" w:firstLine="0"/>
        <w:rPr>
          <w:rFonts w:ascii="黑体" w:hAnsi="黑体" w:eastAsia="黑体"/>
          <w:sz w:val="21"/>
          <w:szCs w:val="21"/>
          <w:lang w:val="zh-CN" w:eastAsia="zh-CN"/>
        </w:rPr>
      </w:pPr>
      <w:r>
        <w:rPr>
          <w:rFonts w:ascii="黑体" w:hAnsi="黑体" w:eastAsia="黑体"/>
          <w:sz w:val="21"/>
          <w:szCs w:val="21"/>
          <w:lang w:val="zh-CN" w:eastAsia="zh-CN"/>
        </w:rPr>
        <w:t>装备</w:t>
      </w:r>
      <w:r>
        <w:rPr>
          <w:rFonts w:hint="eastAsia" w:ascii="黑体" w:hAnsi="黑体" w:eastAsia="黑体"/>
          <w:sz w:val="21"/>
          <w:szCs w:val="21"/>
          <w:lang w:val="zh-CN" w:eastAsia="zh-CN"/>
        </w:rPr>
        <w:t>内容</w:t>
      </w:r>
    </w:p>
    <w:p>
      <w:pPr>
        <w:pStyle w:val="3"/>
        <w:spacing w:before="0" w:after="0" w:line="480" w:lineRule="auto"/>
        <w:rPr>
          <w:rFonts w:ascii="黑体" w:hAnsi="黑体"/>
          <w:kern w:val="44"/>
          <w:sz w:val="21"/>
          <w:szCs w:val="21"/>
          <w:lang w:val="zh-CN"/>
        </w:rPr>
      </w:pPr>
      <w:r>
        <w:rPr>
          <w:rFonts w:hint="eastAsia" w:ascii="黑体" w:hAnsi="黑体"/>
          <w:kern w:val="44"/>
          <w:sz w:val="21"/>
          <w:szCs w:val="21"/>
          <w:lang w:val="zh-CN"/>
        </w:rPr>
        <w:t xml:space="preserve">5.1  </w:t>
      </w:r>
      <w:r>
        <w:rPr>
          <w:rFonts w:hint="eastAsia" w:ascii="黑体" w:hAnsi="黑体"/>
          <w:kern w:val="44"/>
          <w:sz w:val="21"/>
          <w:szCs w:val="21"/>
          <w:lang w:val="zh-CN" w:eastAsia="zh-CN"/>
        </w:rPr>
        <w:t>装备设备</w:t>
      </w:r>
    </w:p>
    <w:p>
      <w:pPr>
        <w:spacing w:line="360" w:lineRule="auto"/>
        <w:ind w:firstLine="420" w:firstLineChars="200"/>
        <w:rPr>
          <w:szCs w:val="21"/>
        </w:rPr>
      </w:pPr>
      <w:r>
        <w:rPr>
          <w:rFonts w:hint="eastAsia"/>
          <w:szCs w:val="21"/>
        </w:rPr>
        <w:t>以48名</w:t>
      </w:r>
      <w:r>
        <w:rPr>
          <w:szCs w:val="21"/>
        </w:rPr>
        <w:t>学生的教室为例，</w:t>
      </w:r>
      <w:r>
        <w:rPr>
          <w:rFonts w:hint="eastAsia"/>
          <w:szCs w:val="21"/>
        </w:rPr>
        <w:t>其设备配备要求见表1，学校可根据实际情况选择性配备，且不限于此表。</w:t>
      </w:r>
    </w:p>
    <w:p>
      <w:pPr>
        <w:rPr>
          <w:highlight w:val="yellow"/>
        </w:rPr>
      </w:pPr>
    </w:p>
    <w:p>
      <w:pPr>
        <w:pStyle w:val="37"/>
        <w:ind w:firstLine="0" w:firstLineChars="0"/>
        <w:jc w:val="center"/>
      </w:pPr>
      <w:r>
        <w:rPr>
          <w:rFonts w:hint="eastAsia"/>
        </w:rPr>
        <w:t>表1</w:t>
      </w:r>
      <w:r>
        <w:rPr>
          <w:rFonts w:hint="eastAsia"/>
          <w:lang w:val="en-US" w:eastAsia="zh-CN"/>
        </w:rPr>
        <w:t xml:space="preserve"> </w:t>
      </w:r>
      <w:bookmarkStart w:id="0" w:name="_GoBack"/>
      <w:bookmarkEnd w:id="0"/>
      <w:r>
        <w:rPr>
          <w:rFonts w:hint="eastAsia"/>
        </w:rPr>
        <w:t>配备要求</w:t>
      </w:r>
    </w:p>
    <w:tbl>
      <w:tblPr>
        <w:tblStyle w:val="67"/>
        <w:tblW w:w="9639"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984"/>
        <w:gridCol w:w="4111"/>
        <w:gridCol w:w="155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序号</w:t>
            </w:r>
          </w:p>
        </w:tc>
        <w:tc>
          <w:tcPr>
            <w:tcW w:w="1984" w:type="dxa"/>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名 称</w:t>
            </w:r>
          </w:p>
        </w:tc>
        <w:tc>
          <w:tcPr>
            <w:tcW w:w="4111" w:type="dxa"/>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功能规格</w:t>
            </w:r>
          </w:p>
        </w:tc>
        <w:tc>
          <w:tcPr>
            <w:tcW w:w="1559" w:type="dxa"/>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单位</w:t>
            </w:r>
          </w:p>
        </w:tc>
        <w:tc>
          <w:tcPr>
            <w:tcW w:w="1134" w:type="dxa"/>
          </w:tcPr>
          <w:p>
            <w:pPr>
              <w:pStyle w:val="37"/>
              <w:widowControl w:val="0"/>
              <w:spacing w:line="360" w:lineRule="auto"/>
              <w:ind w:firstLine="0" w:firstLineChars="0"/>
              <w:jc w:val="center"/>
              <w:rPr>
                <w:rFonts w:hAnsi="宋体" w:eastAsia="宋体" w:cs="Times New Roman"/>
                <w:b/>
                <w:color w:val="000000"/>
                <w:kern w:val="0"/>
                <w:sz w:val="21"/>
                <w:szCs w:val="21"/>
              </w:rPr>
            </w:pPr>
            <w:r>
              <w:rPr>
                <w:rFonts w:hint="eastAsia" w:hAnsi="宋体" w:eastAsia="宋体" w:cs="宋体"/>
                <w:b/>
                <w:bCs/>
                <w:kern w:val="0"/>
                <w:sz w:val="21"/>
                <w:szCs w:val="21"/>
              </w:rPr>
              <w:t>配备数量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39" w:type="dxa"/>
            <w:gridSpan w:val="5"/>
            <w:vAlign w:val="center"/>
          </w:tcPr>
          <w:p>
            <w:pPr>
              <w:pStyle w:val="37"/>
              <w:widowControl w:val="0"/>
              <w:spacing w:line="360" w:lineRule="auto"/>
              <w:ind w:firstLine="0" w:firstLineChars="0"/>
              <w:jc w:val="left"/>
              <w:rPr>
                <w:rFonts w:hAnsi="宋体" w:eastAsia="宋体" w:cs="宋体"/>
                <w:b/>
                <w:bCs/>
                <w:kern w:val="0"/>
                <w:sz w:val="21"/>
                <w:szCs w:val="21"/>
              </w:rPr>
            </w:pPr>
            <w:r>
              <w:rPr>
                <w:rFonts w:hint="eastAsia" w:hAnsi="宋体" w:eastAsia="宋体" w:cs="宋体"/>
                <w:b/>
                <w:bCs/>
                <w:kern w:val="0"/>
                <w:sz w:val="21"/>
                <w:szCs w:val="21"/>
              </w:rPr>
              <w:t>一、多媒体设备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984"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液晶触摸一体机</w:t>
            </w:r>
          </w:p>
        </w:tc>
        <w:tc>
          <w:tcPr>
            <w:tcW w:w="4111" w:type="dxa"/>
            <w:vAlign w:val="center"/>
          </w:tcPr>
          <w:p>
            <w:pPr>
              <w:ind w:left="20"/>
              <w:jc w:val="left"/>
              <w:rPr>
                <w:rFonts w:ascii="宋体" w:hAnsi="宋体" w:eastAsia="宋体" w:cs="Times New Roman"/>
                <w:kern w:val="0"/>
                <w:sz w:val="21"/>
                <w:szCs w:val="21"/>
              </w:rPr>
            </w:pPr>
            <w:r>
              <w:rPr>
                <w:rFonts w:hint="eastAsia" w:ascii="宋体" w:hAnsi="宋体" w:eastAsia="宋体" w:cs="Times New Roman"/>
                <w:kern w:val="0"/>
                <w:sz w:val="21"/>
                <w:szCs w:val="21"/>
              </w:rPr>
              <w:t>1.LED屏，提供原装模组证明；</w:t>
            </w:r>
          </w:p>
          <w:p>
            <w:pPr>
              <w:ind w:left="20"/>
              <w:jc w:val="left"/>
              <w:rPr>
                <w:rFonts w:ascii="宋体" w:hAnsi="宋体" w:eastAsia="宋体" w:cs="Times New Roman"/>
                <w:kern w:val="0"/>
                <w:sz w:val="21"/>
                <w:szCs w:val="21"/>
              </w:rPr>
            </w:pPr>
            <w:r>
              <w:rPr>
                <w:rFonts w:hint="eastAsia" w:ascii="宋体" w:hAnsi="宋体" w:eastAsia="宋体" w:cs="Times New Roman"/>
                <w:kern w:val="0"/>
                <w:sz w:val="21"/>
                <w:szCs w:val="21"/>
              </w:rPr>
              <w:t>2.可视角度：≥178°；亮度：≥400 cd/m2；对比度：≥5000：1；显示比例16：9；</w:t>
            </w:r>
          </w:p>
          <w:p>
            <w:pPr>
              <w:ind w:left="20"/>
              <w:jc w:val="left"/>
              <w:rPr>
                <w:rFonts w:ascii="宋体" w:hAnsi="宋体" w:eastAsia="宋体" w:cs="Times New Roman"/>
                <w:kern w:val="0"/>
                <w:sz w:val="21"/>
                <w:szCs w:val="21"/>
              </w:rPr>
            </w:pPr>
            <w:r>
              <w:rPr>
                <w:rFonts w:hint="eastAsia" w:ascii="宋体" w:hAnsi="宋体" w:eastAsia="宋体" w:cs="Times New Roman"/>
                <w:kern w:val="0"/>
                <w:sz w:val="21"/>
                <w:szCs w:val="21"/>
              </w:rPr>
              <w:t>3.图像物理分辨率：≥1920</w:t>
            </w:r>
            <w:r>
              <w:rPr>
                <w:rFonts w:hint="eastAsia" w:ascii="宋体" w:hAnsi="宋体" w:eastAsia="宋体" w:cs="宋体"/>
                <w:kern w:val="0"/>
                <w:sz w:val="21"/>
                <w:szCs w:val="21"/>
              </w:rPr>
              <w:t>×</w:t>
            </w:r>
            <w:r>
              <w:rPr>
                <w:rFonts w:hint="eastAsia" w:ascii="宋体" w:hAnsi="宋体" w:eastAsia="宋体" w:cs="Times New Roman"/>
                <w:kern w:val="0"/>
                <w:sz w:val="21"/>
                <w:szCs w:val="21"/>
              </w:rPr>
              <w:t>1080；</w:t>
            </w:r>
          </w:p>
          <w:p>
            <w:pPr>
              <w:ind w:left="20"/>
              <w:jc w:val="left"/>
              <w:rPr>
                <w:rFonts w:ascii="宋体" w:hAnsi="宋体" w:eastAsia="宋体" w:cs="Times New Roman"/>
                <w:kern w:val="0"/>
                <w:sz w:val="21"/>
                <w:szCs w:val="21"/>
              </w:rPr>
            </w:pPr>
            <w:r>
              <w:rPr>
                <w:rFonts w:hint="eastAsia" w:ascii="宋体" w:hAnsi="宋体" w:eastAsia="宋体" w:cs="Times New Roman"/>
                <w:kern w:val="0"/>
                <w:sz w:val="21"/>
                <w:szCs w:val="21"/>
              </w:rPr>
              <w:t>4.整机接口：USB≥2、AV≥2；</w:t>
            </w:r>
          </w:p>
          <w:p>
            <w:pPr>
              <w:ind w:left="20"/>
              <w:jc w:val="left"/>
              <w:rPr>
                <w:rFonts w:ascii="宋体" w:hAnsi="宋体" w:eastAsia="宋体" w:cs="Times New Roman"/>
                <w:kern w:val="0"/>
                <w:sz w:val="21"/>
                <w:szCs w:val="21"/>
              </w:rPr>
            </w:pPr>
            <w:r>
              <w:rPr>
                <w:rFonts w:hint="eastAsia" w:ascii="宋体" w:hAnsi="宋体" w:eastAsia="宋体" w:cs="Times New Roman"/>
                <w:kern w:val="0"/>
                <w:sz w:val="21"/>
                <w:szCs w:val="21"/>
              </w:rPr>
              <w:t>5.触控技术：红外多点触控技术；</w:t>
            </w:r>
          </w:p>
          <w:p>
            <w:pPr>
              <w:widowControl/>
              <w:jc w:val="left"/>
              <w:textAlignment w:val="center"/>
              <w:rPr>
                <w:rFonts w:ascii="宋体" w:hAnsi="宋体" w:eastAsia="宋体" w:cs="Times New Roman"/>
                <w:kern w:val="0"/>
                <w:sz w:val="21"/>
                <w:szCs w:val="21"/>
              </w:rPr>
            </w:pPr>
            <w:r>
              <w:rPr>
                <w:rFonts w:hint="eastAsia" w:ascii="宋体" w:hAnsi="宋体" w:eastAsia="宋体" w:cs="Times New Roman"/>
                <w:kern w:val="0"/>
                <w:sz w:val="21"/>
                <w:szCs w:val="21"/>
              </w:rPr>
              <w:t>6.触摸点数：≥10点</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台</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984"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无线话筒</w:t>
            </w:r>
          </w:p>
        </w:tc>
        <w:tc>
          <w:tcPr>
            <w:tcW w:w="4111" w:type="dxa"/>
            <w:vAlign w:val="center"/>
          </w:tcPr>
          <w:p>
            <w:pPr>
              <w:jc w:val="left"/>
              <w:rPr>
                <w:rFonts w:ascii="宋体" w:hAnsi="宋体" w:eastAsia="宋体" w:cs="宋体"/>
                <w:kern w:val="0"/>
                <w:sz w:val="21"/>
                <w:szCs w:val="21"/>
              </w:rPr>
            </w:pPr>
            <w:r>
              <w:rPr>
                <w:rFonts w:hint="eastAsia" w:ascii="宋体" w:hAnsi="宋体" w:eastAsia="宋体" w:cs="宋体"/>
                <w:kern w:val="0"/>
                <w:sz w:val="21"/>
                <w:szCs w:val="21"/>
              </w:rPr>
              <w:t>1.接收频率范围：VHF或UHF频段；</w:t>
            </w:r>
          </w:p>
          <w:p>
            <w:pPr>
              <w:jc w:val="left"/>
              <w:rPr>
                <w:rFonts w:ascii="宋体" w:hAnsi="宋体" w:eastAsia="宋体" w:cs="宋体"/>
                <w:kern w:val="0"/>
                <w:sz w:val="21"/>
                <w:szCs w:val="21"/>
              </w:rPr>
            </w:pPr>
            <w:r>
              <w:rPr>
                <w:rFonts w:hint="eastAsia" w:ascii="宋体" w:hAnsi="宋体" w:eastAsia="宋体" w:cs="宋体"/>
                <w:kern w:val="0"/>
                <w:sz w:val="21"/>
                <w:szCs w:val="21"/>
              </w:rPr>
              <w:t>2.有效使用距离大于或等于10 m；</w:t>
            </w:r>
          </w:p>
          <w:p>
            <w:pPr>
              <w:jc w:val="left"/>
              <w:rPr>
                <w:rFonts w:ascii="宋体" w:hAnsi="宋体" w:eastAsia="宋体" w:cs="宋体"/>
                <w:kern w:val="0"/>
                <w:sz w:val="21"/>
                <w:szCs w:val="21"/>
              </w:rPr>
            </w:pPr>
            <w:r>
              <w:rPr>
                <w:rFonts w:hint="eastAsia" w:ascii="宋体" w:hAnsi="宋体" w:eastAsia="宋体" w:cs="宋体"/>
                <w:kern w:val="0"/>
                <w:sz w:val="21"/>
                <w:szCs w:val="21"/>
              </w:rPr>
              <w:t>3.最大偏移度：±15 kHz，水平限制；</w:t>
            </w:r>
          </w:p>
          <w:p>
            <w:pPr>
              <w:jc w:val="left"/>
              <w:rPr>
                <w:rFonts w:ascii="宋体" w:hAnsi="宋体" w:eastAsia="宋体" w:cs="宋体"/>
                <w:kern w:val="0"/>
                <w:sz w:val="21"/>
                <w:szCs w:val="21"/>
              </w:rPr>
            </w:pPr>
            <w:r>
              <w:rPr>
                <w:rFonts w:hint="eastAsia" w:ascii="宋体" w:hAnsi="宋体" w:eastAsia="宋体" w:cs="宋体"/>
                <w:kern w:val="0"/>
                <w:sz w:val="21"/>
                <w:szCs w:val="21"/>
              </w:rPr>
              <w:t>4.频响范围80 Hz～16 kHz；</w:t>
            </w:r>
          </w:p>
          <w:p>
            <w:pPr>
              <w:jc w:val="left"/>
              <w:rPr>
                <w:rFonts w:ascii="宋体" w:hAnsi="宋体" w:eastAsia="宋体" w:cs="宋体"/>
                <w:kern w:val="0"/>
                <w:sz w:val="21"/>
                <w:szCs w:val="21"/>
              </w:rPr>
            </w:pPr>
            <w:r>
              <w:rPr>
                <w:rFonts w:hint="eastAsia" w:ascii="宋体" w:hAnsi="宋体" w:eastAsia="宋体" w:cs="宋体"/>
                <w:kern w:val="0"/>
                <w:sz w:val="21"/>
                <w:szCs w:val="21"/>
              </w:rPr>
              <w:t xml:space="preserve">5.灵敏度：输入10 </w:t>
            </w:r>
            <w:r>
              <w:rPr>
                <w:rFonts w:hint="eastAsia" w:ascii="宋体" w:hAnsi="宋体" w:eastAsia="宋体" w:cs="Times New Roman"/>
                <w:kern w:val="0"/>
                <w:sz w:val="21"/>
                <w:szCs w:val="21"/>
              </w:rPr>
              <w:t>dBuv</w:t>
            </w:r>
            <w:r>
              <w:rPr>
                <w:rFonts w:hint="eastAsia" w:ascii="宋体" w:hAnsi="宋体" w:eastAsia="宋体" w:cs="宋体"/>
                <w:kern w:val="0"/>
                <w:sz w:val="21"/>
                <w:szCs w:val="21"/>
              </w:rPr>
              <w:t>～15 dBuv时,S/N:＞70 dB；</w:t>
            </w:r>
          </w:p>
          <w:p>
            <w:pPr>
              <w:jc w:val="left"/>
              <w:rPr>
                <w:rFonts w:ascii="宋体" w:hAnsi="宋体" w:eastAsia="宋体" w:cs="宋体"/>
                <w:kern w:val="0"/>
                <w:sz w:val="21"/>
                <w:szCs w:val="21"/>
              </w:rPr>
            </w:pPr>
            <w:r>
              <w:rPr>
                <w:rFonts w:hint="eastAsia" w:ascii="宋体" w:hAnsi="宋体" w:eastAsia="宋体" w:cs="宋体"/>
                <w:kern w:val="0"/>
                <w:sz w:val="21"/>
                <w:szCs w:val="21"/>
              </w:rPr>
              <w:t>6.谐波干扰比：＞80 dB；</w:t>
            </w:r>
          </w:p>
          <w:p>
            <w:pPr>
              <w:jc w:val="left"/>
              <w:rPr>
                <w:rFonts w:ascii="宋体" w:hAnsi="宋体" w:eastAsia="宋体" w:cs="宋体"/>
                <w:kern w:val="0"/>
                <w:sz w:val="21"/>
                <w:szCs w:val="21"/>
              </w:rPr>
            </w:pPr>
            <w:r>
              <w:rPr>
                <w:rFonts w:hint="eastAsia" w:ascii="宋体" w:hAnsi="宋体" w:eastAsia="宋体" w:cs="宋体"/>
                <w:kern w:val="0"/>
                <w:sz w:val="21"/>
                <w:szCs w:val="21"/>
              </w:rPr>
              <w:t>7.电压：12V</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个</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984"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功率放大器</w:t>
            </w:r>
          </w:p>
        </w:tc>
        <w:tc>
          <w:tcPr>
            <w:tcW w:w="4111" w:type="dxa"/>
            <w:vAlign w:val="center"/>
          </w:tcPr>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1.额定功率优于或等于2×60 W/8 Ω（RMS）；</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2.线路输出优于或等于0 dB±1 dB；</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3.失真度： ≤0.5%；</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4.电源适应范围AC175 V</w:t>
            </w:r>
            <w:r>
              <w:rPr>
                <w:rFonts w:ascii="宋体" w:hAnsi="宋体" w:eastAsia="宋体" w:cs="Times New Roman"/>
                <w:kern w:val="0"/>
                <w:sz w:val="21"/>
                <w:szCs w:val="21"/>
              </w:rPr>
              <w:t>～</w:t>
            </w:r>
            <w:r>
              <w:rPr>
                <w:rFonts w:hint="eastAsia" w:ascii="宋体" w:hAnsi="宋体" w:eastAsia="宋体" w:cs="宋体"/>
                <w:kern w:val="0"/>
                <w:sz w:val="21"/>
                <w:szCs w:val="21"/>
              </w:rPr>
              <w:t>260 V/50 Hz</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个</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984" w:type="dxa"/>
            <w:vAlign w:val="center"/>
          </w:tcPr>
          <w:p>
            <w:pPr>
              <w:widowControl/>
              <w:jc w:val="center"/>
              <w:textAlignment w:val="center"/>
              <w:rPr>
                <w:rFonts w:ascii="宋体" w:hAnsi="宋体" w:eastAsia="宋体" w:cs="宋体"/>
                <w:kern w:val="0"/>
                <w:sz w:val="21"/>
                <w:szCs w:val="21"/>
              </w:rPr>
            </w:pPr>
            <w:r>
              <w:rPr>
                <w:rFonts w:hint="eastAsia" w:ascii="宋体" w:hAnsi="宋体" w:eastAsia="宋体" w:cs="宋体"/>
                <w:kern w:val="0"/>
                <w:sz w:val="21"/>
                <w:szCs w:val="21"/>
              </w:rPr>
              <w:t>音箱</w:t>
            </w:r>
          </w:p>
        </w:tc>
        <w:tc>
          <w:tcPr>
            <w:tcW w:w="4111" w:type="dxa"/>
            <w:vAlign w:val="center"/>
          </w:tcPr>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1.额定/峰值功率优于或等于50 W/200 W；</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2.额定阻抗优于或等于8 Ω；</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3.特性灵敏度优于或等于92 dB/W/m ；</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4.输出声压级优于或等于110 dB/W/m，连续</w:t>
            </w:r>
            <w:r>
              <w:rPr>
                <w:rFonts w:ascii="宋体" w:hAnsi="宋体" w:eastAsia="宋体" w:cs="宋体"/>
                <w:kern w:val="0"/>
                <w:sz w:val="21"/>
                <w:szCs w:val="21"/>
              </w:rPr>
              <w:t>116</w:t>
            </w:r>
            <w:r>
              <w:rPr>
                <w:rFonts w:hint="eastAsia" w:ascii="宋体" w:hAnsi="宋体" w:eastAsia="宋体" w:cs="宋体"/>
                <w:kern w:val="0"/>
                <w:sz w:val="21"/>
                <w:szCs w:val="21"/>
              </w:rPr>
              <w:t xml:space="preserve"> </w:t>
            </w:r>
            <w:r>
              <w:rPr>
                <w:rFonts w:ascii="宋体" w:hAnsi="宋体" w:eastAsia="宋体" w:cs="宋体"/>
                <w:kern w:val="0"/>
                <w:sz w:val="21"/>
                <w:szCs w:val="21"/>
              </w:rPr>
              <w:t>dB/W/m</w:t>
            </w:r>
            <w:r>
              <w:rPr>
                <w:rFonts w:hint="eastAsia" w:ascii="宋体" w:hAnsi="宋体" w:eastAsia="宋体" w:cs="宋体"/>
                <w:kern w:val="0"/>
                <w:sz w:val="21"/>
                <w:szCs w:val="21"/>
              </w:rPr>
              <w:t>峰值</w:t>
            </w:r>
            <w:r>
              <w:rPr>
                <w:rFonts w:ascii="宋体" w:hAnsi="宋体" w:eastAsia="宋体" w:cs="宋体"/>
                <w:kern w:val="0"/>
                <w:sz w:val="21"/>
                <w:szCs w:val="21"/>
              </w:rPr>
              <w:t xml:space="preserve"> </w:t>
            </w:r>
            <w:r>
              <w:rPr>
                <w:rFonts w:hint="eastAsia" w:ascii="宋体" w:hAnsi="宋体" w:eastAsia="宋体" w:cs="宋体"/>
                <w:kern w:val="0"/>
                <w:sz w:val="21"/>
                <w:szCs w:val="21"/>
              </w:rPr>
              <w:t>；</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5.额定频率范围优于或等于4 kHz8</w:t>
            </w:r>
            <w:r>
              <w:rPr>
                <w:rFonts w:ascii="宋体" w:hAnsi="宋体" w:eastAsia="宋体" w:cs="Times New Roman"/>
                <w:kern w:val="0"/>
                <w:sz w:val="21"/>
                <w:szCs w:val="21"/>
              </w:rPr>
              <w:t>～</w:t>
            </w:r>
            <w:r>
              <w:rPr>
                <w:rFonts w:hint="eastAsia" w:ascii="宋体" w:hAnsi="宋体" w:eastAsia="宋体" w:cs="宋体"/>
                <w:kern w:val="0"/>
                <w:sz w:val="21"/>
                <w:szCs w:val="21"/>
              </w:rPr>
              <w:t>20 kHz；</w:t>
            </w:r>
          </w:p>
          <w:p>
            <w:pPr>
              <w:widowControl/>
              <w:jc w:val="left"/>
              <w:textAlignment w:val="center"/>
              <w:rPr>
                <w:rFonts w:ascii="宋体" w:hAnsi="宋体" w:eastAsia="宋体" w:cs="宋体"/>
                <w:kern w:val="0"/>
                <w:sz w:val="21"/>
                <w:szCs w:val="21"/>
              </w:rPr>
            </w:pPr>
            <w:r>
              <w:rPr>
                <w:rFonts w:hint="eastAsia" w:ascii="宋体" w:hAnsi="宋体" w:eastAsia="宋体" w:cs="宋体"/>
                <w:kern w:val="0"/>
                <w:sz w:val="21"/>
                <w:szCs w:val="21"/>
              </w:rPr>
              <w:t>6.扬声器单元优于或等于LF:8英寸，HF:1英寸</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套</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39" w:type="dxa"/>
            <w:gridSpan w:val="5"/>
            <w:vAlign w:val="center"/>
          </w:tcPr>
          <w:p>
            <w:pPr>
              <w:widowControl/>
              <w:autoSpaceDE w:val="0"/>
              <w:autoSpaceDN w:val="0"/>
              <w:rPr>
                <w:rFonts w:ascii="宋体" w:hAnsi="宋体" w:eastAsia="宋体" w:cs="宋体"/>
                <w:b/>
                <w:kern w:val="0"/>
                <w:sz w:val="21"/>
                <w:szCs w:val="21"/>
              </w:rPr>
            </w:pPr>
            <w:r>
              <w:rPr>
                <w:rFonts w:hint="eastAsia" w:ascii="宋体" w:hAnsi="宋体" w:eastAsia="宋体" w:cs="宋体"/>
                <w:b/>
                <w:kern w:val="0"/>
                <w:sz w:val="21"/>
                <w:szCs w:val="21"/>
              </w:rPr>
              <w:t>二、教学硬件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平板电脑</w:t>
            </w:r>
          </w:p>
        </w:tc>
        <w:tc>
          <w:tcPr>
            <w:tcW w:w="4111" w:type="dxa"/>
            <w:vAlign w:val="center"/>
          </w:tcPr>
          <w:p>
            <w:pPr>
              <w:jc w:val="left"/>
              <w:rPr>
                <w:rFonts w:ascii="宋体" w:hAnsi="宋体" w:eastAsia="宋体" w:cs="宋体"/>
                <w:kern w:val="0"/>
                <w:sz w:val="21"/>
                <w:szCs w:val="21"/>
              </w:rPr>
            </w:pPr>
            <w:r>
              <w:rPr>
                <w:rFonts w:hint="eastAsia" w:ascii="宋体" w:hAnsi="宋体" w:eastAsia="宋体" w:cs="宋体"/>
                <w:kern w:val="0"/>
                <w:sz w:val="21"/>
                <w:szCs w:val="21"/>
              </w:rPr>
              <w:t>1.</w:t>
            </w:r>
            <w:r>
              <w:rPr>
                <w:rFonts w:ascii="宋体" w:hAnsi="宋体" w:eastAsia="宋体" w:cs="宋体"/>
                <w:kern w:val="0"/>
                <w:sz w:val="21"/>
                <w:szCs w:val="21"/>
              </w:rPr>
              <w:t>平板电脑屏幕应不低于8英寸</w:t>
            </w:r>
            <w:r>
              <w:rPr>
                <w:rFonts w:hint="eastAsia" w:ascii="宋体" w:hAnsi="宋体" w:eastAsia="宋体" w:cs="宋体"/>
                <w:kern w:val="0"/>
                <w:sz w:val="21"/>
                <w:szCs w:val="21"/>
              </w:rPr>
              <w:t>；</w:t>
            </w:r>
          </w:p>
          <w:p>
            <w:pPr>
              <w:jc w:val="left"/>
              <w:rPr>
                <w:rFonts w:ascii="宋体" w:hAnsi="宋体" w:eastAsia="宋体" w:cs="宋体"/>
                <w:kern w:val="0"/>
                <w:sz w:val="21"/>
                <w:szCs w:val="21"/>
              </w:rPr>
            </w:pPr>
            <w:r>
              <w:rPr>
                <w:rFonts w:hint="eastAsia" w:ascii="宋体" w:hAnsi="宋体" w:eastAsia="宋体" w:cs="宋体"/>
                <w:kern w:val="0"/>
                <w:sz w:val="21"/>
                <w:szCs w:val="21"/>
              </w:rPr>
              <w:t>2.</w:t>
            </w:r>
            <w:r>
              <w:rPr>
                <w:rFonts w:ascii="宋体" w:hAnsi="宋体" w:eastAsia="宋体" w:cs="宋体"/>
                <w:kern w:val="0"/>
                <w:sz w:val="21"/>
                <w:szCs w:val="21"/>
              </w:rPr>
              <w:t>主流CPU，内存≥2</w:t>
            </w:r>
            <w:r>
              <w:rPr>
                <w:rFonts w:hint="eastAsia" w:ascii="宋体" w:hAnsi="宋体" w:eastAsia="宋体" w:cs="宋体"/>
                <w:kern w:val="0"/>
                <w:sz w:val="21"/>
                <w:szCs w:val="21"/>
              </w:rPr>
              <w:t xml:space="preserve"> </w:t>
            </w:r>
            <w:r>
              <w:rPr>
                <w:rFonts w:ascii="宋体" w:hAnsi="宋体" w:eastAsia="宋体" w:cs="宋体"/>
                <w:kern w:val="0"/>
                <w:sz w:val="21"/>
                <w:szCs w:val="21"/>
              </w:rPr>
              <w:t>GB，硬盘≥64</w:t>
            </w:r>
            <w:r>
              <w:rPr>
                <w:rFonts w:hint="eastAsia" w:ascii="宋体" w:hAnsi="宋体" w:eastAsia="宋体" w:cs="宋体"/>
                <w:kern w:val="0"/>
                <w:sz w:val="21"/>
                <w:szCs w:val="21"/>
              </w:rPr>
              <w:t xml:space="preserve"> </w:t>
            </w:r>
            <w:r>
              <w:rPr>
                <w:rFonts w:ascii="宋体" w:hAnsi="宋体" w:eastAsia="宋体" w:cs="宋体"/>
                <w:kern w:val="0"/>
                <w:sz w:val="21"/>
                <w:szCs w:val="21"/>
              </w:rPr>
              <w:t>GB</w:t>
            </w:r>
            <w:r>
              <w:rPr>
                <w:rFonts w:hint="eastAsia" w:ascii="宋体" w:hAnsi="宋体" w:eastAsia="宋体" w:cs="宋体"/>
                <w:kern w:val="0"/>
                <w:sz w:val="21"/>
                <w:szCs w:val="21"/>
              </w:rPr>
              <w:t>；</w:t>
            </w:r>
          </w:p>
          <w:p>
            <w:pPr>
              <w:jc w:val="left"/>
              <w:rPr>
                <w:rFonts w:ascii="宋体" w:hAnsi="宋体" w:eastAsia="宋体" w:cs="宋体"/>
                <w:kern w:val="0"/>
                <w:sz w:val="21"/>
                <w:szCs w:val="21"/>
              </w:rPr>
            </w:pPr>
            <w:r>
              <w:rPr>
                <w:rFonts w:hint="eastAsia" w:ascii="宋体" w:hAnsi="宋体" w:eastAsia="宋体" w:cs="宋体"/>
                <w:kern w:val="0"/>
                <w:sz w:val="21"/>
                <w:szCs w:val="21"/>
              </w:rPr>
              <w:t>3.</w:t>
            </w:r>
            <w:r>
              <w:rPr>
                <w:rFonts w:ascii="宋体" w:hAnsi="宋体" w:eastAsia="宋体" w:cs="宋体"/>
                <w:kern w:val="0"/>
                <w:sz w:val="21"/>
                <w:szCs w:val="21"/>
              </w:rPr>
              <w:t>显示屏是触摸屏，防眩光</w:t>
            </w:r>
            <w:r>
              <w:rPr>
                <w:rFonts w:hint="eastAsia" w:ascii="宋体" w:hAnsi="宋体" w:eastAsia="宋体" w:cs="宋体"/>
                <w:kern w:val="0"/>
                <w:sz w:val="21"/>
                <w:szCs w:val="21"/>
              </w:rPr>
              <w:t>；</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4.</w:t>
            </w:r>
            <w:r>
              <w:rPr>
                <w:rFonts w:ascii="宋体" w:hAnsi="宋体" w:eastAsia="宋体" w:cs="宋体"/>
                <w:kern w:val="0"/>
                <w:sz w:val="21"/>
                <w:szCs w:val="21"/>
              </w:rPr>
              <w:t>符合教学需求，安装正版操作系统及办公软件</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台</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6</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耳机</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高清麦克风，耳套60度调节，麦克风90度调节，3.5 mm金属渡头，多用线控，滚动式调节音量操作更便捷</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付</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7</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教师用电钢琴</w:t>
            </w:r>
          </w:p>
        </w:tc>
        <w:tc>
          <w:tcPr>
            <w:tcW w:w="4111" w:type="dxa"/>
            <w:vAlign w:val="center"/>
          </w:tcPr>
          <w:p>
            <w:pPr>
              <w:jc w:val="left"/>
              <w:rPr>
                <w:rFonts w:ascii="宋体" w:hAnsi="宋体" w:eastAsia="宋体" w:cs="Times New Roman"/>
                <w:bCs/>
                <w:kern w:val="0"/>
                <w:sz w:val="21"/>
                <w:szCs w:val="21"/>
              </w:rPr>
            </w:pPr>
            <w:r>
              <w:rPr>
                <w:rFonts w:hint="eastAsia" w:ascii="宋体" w:hAnsi="宋体" w:eastAsia="宋体" w:cs="Times New Roman"/>
                <w:bCs/>
                <w:kern w:val="0"/>
                <w:sz w:val="21"/>
                <w:szCs w:val="21"/>
              </w:rPr>
              <w:t>2.88键锤感键盘，有MIDI接口和USB接口；</w:t>
            </w:r>
            <w:r>
              <w:rPr>
                <w:rFonts w:hint="eastAsia" w:ascii="宋体" w:hAnsi="宋体" w:eastAsia="宋体" w:cs="宋体"/>
                <w:kern w:val="0"/>
                <w:sz w:val="21"/>
                <w:szCs w:val="21"/>
              </w:rPr>
              <w:t>带3踏板；</w:t>
            </w:r>
          </w:p>
          <w:p>
            <w:pPr>
              <w:jc w:val="left"/>
              <w:rPr>
                <w:rFonts w:ascii="宋体" w:hAnsi="宋体" w:eastAsia="宋体" w:cs="Times New Roman"/>
                <w:bCs/>
                <w:kern w:val="0"/>
                <w:sz w:val="21"/>
                <w:szCs w:val="21"/>
              </w:rPr>
            </w:pPr>
            <w:r>
              <w:rPr>
                <w:rFonts w:hint="eastAsia" w:ascii="宋体" w:hAnsi="宋体" w:eastAsia="宋体" w:cs="Times New Roman"/>
                <w:bCs/>
                <w:kern w:val="0"/>
                <w:sz w:val="21"/>
                <w:szCs w:val="21"/>
              </w:rPr>
              <w:t>3.标准音：440a1  律制：十二平均律；</w:t>
            </w:r>
          </w:p>
          <w:p>
            <w:pPr>
              <w:jc w:val="left"/>
              <w:rPr>
                <w:rFonts w:ascii="宋体" w:hAnsi="宋体" w:eastAsia="宋体" w:cs="宋体"/>
                <w:kern w:val="0"/>
                <w:sz w:val="21"/>
                <w:szCs w:val="21"/>
              </w:rPr>
            </w:pPr>
            <w:r>
              <w:rPr>
                <w:rFonts w:hint="eastAsia" w:ascii="宋体" w:hAnsi="宋体" w:eastAsia="宋体" w:cs="宋体"/>
                <w:kern w:val="0"/>
                <w:sz w:val="21"/>
                <w:szCs w:val="21"/>
              </w:rPr>
              <w:t>4.音色：不少于128种复音数≥64；</w:t>
            </w:r>
          </w:p>
          <w:p>
            <w:pPr>
              <w:jc w:val="left"/>
              <w:rPr>
                <w:rFonts w:ascii="宋体" w:hAnsi="宋体" w:eastAsia="宋体" w:cs="宋体"/>
                <w:kern w:val="0"/>
                <w:sz w:val="21"/>
                <w:szCs w:val="21"/>
              </w:rPr>
            </w:pPr>
            <w:r>
              <w:rPr>
                <w:rFonts w:hint="eastAsia" w:ascii="宋体" w:hAnsi="宋体" w:eastAsia="宋体" w:cs="宋体"/>
                <w:kern w:val="0"/>
                <w:sz w:val="21"/>
                <w:szCs w:val="21"/>
              </w:rPr>
              <w:t>5.音准稳定性:≤±2 音分；</w:t>
            </w:r>
          </w:p>
          <w:p>
            <w:pPr>
              <w:jc w:val="left"/>
              <w:rPr>
                <w:rFonts w:ascii="宋体" w:hAnsi="宋体" w:eastAsia="宋体" w:cs="宋体"/>
                <w:kern w:val="0"/>
                <w:sz w:val="21"/>
                <w:szCs w:val="21"/>
              </w:rPr>
            </w:pPr>
            <w:r>
              <w:rPr>
                <w:rFonts w:hint="eastAsia" w:ascii="宋体" w:hAnsi="宋体" w:eastAsia="宋体" w:cs="宋体"/>
                <w:kern w:val="0"/>
                <w:sz w:val="21"/>
                <w:szCs w:val="21"/>
              </w:rPr>
              <w:t>6.产品额定输出功率≥12 W；</w:t>
            </w:r>
          </w:p>
          <w:p>
            <w:pPr>
              <w:jc w:val="left"/>
              <w:rPr>
                <w:rFonts w:ascii="宋体" w:hAnsi="宋体" w:eastAsia="宋体" w:cs="Times New Roman"/>
                <w:bCs/>
                <w:kern w:val="0"/>
                <w:sz w:val="21"/>
                <w:szCs w:val="21"/>
              </w:rPr>
            </w:pPr>
            <w:r>
              <w:rPr>
                <w:rFonts w:hint="eastAsia" w:ascii="宋体" w:hAnsi="宋体" w:eastAsia="宋体" w:cs="宋体"/>
                <w:kern w:val="0"/>
                <w:sz w:val="21"/>
                <w:szCs w:val="21"/>
              </w:rPr>
              <w:t>7.具有滑盖或翻盖立式结构功能，</w:t>
            </w:r>
            <w:r>
              <w:rPr>
                <w:rFonts w:hint="eastAsia" w:ascii="宋体" w:hAnsi="宋体" w:eastAsia="宋体" w:cs="Times New Roman"/>
                <w:bCs/>
                <w:kern w:val="0"/>
                <w:sz w:val="21"/>
                <w:szCs w:val="21"/>
              </w:rPr>
              <w:t>结构牢固，安全可靠；</w:t>
            </w:r>
          </w:p>
          <w:p>
            <w:pPr>
              <w:jc w:val="left"/>
              <w:rPr>
                <w:rFonts w:ascii="宋体" w:hAnsi="宋体" w:eastAsia="宋体" w:cs="Times New Roman"/>
                <w:kern w:val="0"/>
                <w:sz w:val="21"/>
                <w:szCs w:val="21"/>
              </w:rPr>
            </w:pPr>
            <w:r>
              <w:rPr>
                <w:rFonts w:hint="eastAsia" w:ascii="宋体" w:hAnsi="宋体" w:eastAsia="宋体" w:cs="宋体"/>
                <w:kern w:val="0"/>
                <w:sz w:val="21"/>
                <w:szCs w:val="21"/>
              </w:rPr>
              <w:t>8.琴壳：实木或塑料应符合有害物质限量要求</w:t>
            </w:r>
          </w:p>
          <w:p>
            <w:pPr>
              <w:jc w:val="left"/>
              <w:rPr>
                <w:rFonts w:ascii="宋体" w:hAnsi="宋体" w:eastAsia="宋体" w:cs="Times New Roman"/>
                <w:kern w:val="0"/>
                <w:sz w:val="21"/>
                <w:szCs w:val="21"/>
              </w:rPr>
            </w:pPr>
            <w:r>
              <w:rPr>
                <w:rFonts w:hint="eastAsia" w:ascii="宋体" w:hAnsi="宋体" w:eastAsia="宋体" w:cs="Times New Roman"/>
                <w:kern w:val="0"/>
                <w:sz w:val="21"/>
                <w:szCs w:val="21"/>
              </w:rPr>
              <w:t>9.支持中英文显示；</w:t>
            </w:r>
          </w:p>
          <w:p>
            <w:pPr>
              <w:jc w:val="left"/>
              <w:rPr>
                <w:rFonts w:ascii="宋体" w:hAnsi="宋体" w:eastAsia="宋体" w:cs="Times New Roman"/>
                <w:kern w:val="0"/>
                <w:sz w:val="21"/>
                <w:szCs w:val="21"/>
              </w:rPr>
            </w:pPr>
            <w:r>
              <w:rPr>
                <w:rFonts w:hint="eastAsia" w:ascii="宋体" w:hAnsi="宋体" w:eastAsia="宋体" w:cs="Times New Roman"/>
                <w:kern w:val="0"/>
                <w:sz w:val="21"/>
                <w:szCs w:val="21"/>
              </w:rPr>
              <w:t>10.具有中国民族音色、民族节奏</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台</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8</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学生用电钢琴</w:t>
            </w:r>
          </w:p>
        </w:tc>
        <w:tc>
          <w:tcPr>
            <w:tcW w:w="4111" w:type="dxa"/>
            <w:vAlign w:val="center"/>
          </w:tcPr>
          <w:p>
            <w:pPr>
              <w:jc w:val="left"/>
              <w:rPr>
                <w:rFonts w:ascii="宋体" w:hAnsi="宋体" w:eastAsia="宋体" w:cs="Times New Roman"/>
                <w:bCs/>
                <w:kern w:val="0"/>
                <w:sz w:val="21"/>
                <w:szCs w:val="21"/>
              </w:rPr>
            </w:pPr>
            <w:r>
              <w:rPr>
                <w:rFonts w:hint="eastAsia" w:ascii="宋体" w:hAnsi="宋体" w:eastAsia="宋体" w:cs="Times New Roman"/>
                <w:bCs/>
                <w:kern w:val="0"/>
                <w:sz w:val="21"/>
                <w:szCs w:val="21"/>
              </w:rPr>
              <w:t>1.应符合T/JYBZ 004—2018中一等品的要求；</w:t>
            </w:r>
          </w:p>
          <w:p>
            <w:pPr>
              <w:jc w:val="left"/>
              <w:rPr>
                <w:rFonts w:ascii="宋体" w:hAnsi="宋体" w:eastAsia="宋体" w:cs="Times New Roman"/>
                <w:bCs/>
                <w:kern w:val="0"/>
                <w:sz w:val="21"/>
                <w:szCs w:val="21"/>
              </w:rPr>
            </w:pPr>
            <w:r>
              <w:rPr>
                <w:rFonts w:hint="eastAsia" w:ascii="宋体" w:hAnsi="宋体" w:eastAsia="宋体" w:cs="Times New Roman"/>
                <w:bCs/>
                <w:kern w:val="0"/>
                <w:sz w:val="21"/>
                <w:szCs w:val="21"/>
              </w:rPr>
              <w:t>2.88键锤感键盘，有MIDI接口和USB接口；</w:t>
            </w:r>
            <w:r>
              <w:rPr>
                <w:rFonts w:hint="eastAsia" w:ascii="宋体" w:hAnsi="宋体" w:eastAsia="宋体" w:cs="宋体"/>
                <w:kern w:val="0"/>
                <w:sz w:val="21"/>
                <w:szCs w:val="21"/>
              </w:rPr>
              <w:t>带3踏板；</w:t>
            </w:r>
          </w:p>
          <w:p>
            <w:pPr>
              <w:jc w:val="left"/>
              <w:rPr>
                <w:rFonts w:ascii="宋体" w:hAnsi="宋体" w:eastAsia="宋体" w:cs="Times New Roman"/>
                <w:bCs/>
                <w:kern w:val="0"/>
                <w:sz w:val="21"/>
                <w:szCs w:val="21"/>
              </w:rPr>
            </w:pPr>
            <w:r>
              <w:rPr>
                <w:rFonts w:hint="eastAsia" w:ascii="宋体" w:hAnsi="宋体" w:eastAsia="宋体" w:cs="Times New Roman"/>
                <w:bCs/>
                <w:kern w:val="0"/>
                <w:sz w:val="21"/>
                <w:szCs w:val="21"/>
              </w:rPr>
              <w:t>3.标准音：440a1 律制：十二平均律；</w:t>
            </w:r>
          </w:p>
          <w:p>
            <w:pPr>
              <w:jc w:val="left"/>
              <w:rPr>
                <w:rFonts w:ascii="宋体" w:hAnsi="宋体" w:eastAsia="宋体" w:cs="宋体"/>
                <w:kern w:val="0"/>
                <w:sz w:val="21"/>
                <w:szCs w:val="21"/>
              </w:rPr>
            </w:pPr>
            <w:r>
              <w:rPr>
                <w:rFonts w:hint="eastAsia" w:ascii="宋体" w:hAnsi="宋体" w:eastAsia="宋体" w:cs="宋体"/>
                <w:kern w:val="0"/>
                <w:sz w:val="21"/>
                <w:szCs w:val="21"/>
              </w:rPr>
              <w:t>4.音色：不少于128种复音数≥64；</w:t>
            </w:r>
          </w:p>
          <w:p>
            <w:pPr>
              <w:jc w:val="left"/>
              <w:rPr>
                <w:rFonts w:ascii="宋体" w:hAnsi="宋体" w:eastAsia="宋体" w:cs="宋体"/>
                <w:kern w:val="0"/>
                <w:sz w:val="21"/>
                <w:szCs w:val="21"/>
              </w:rPr>
            </w:pPr>
            <w:r>
              <w:rPr>
                <w:rFonts w:hint="eastAsia" w:ascii="宋体" w:hAnsi="宋体" w:eastAsia="宋体" w:cs="宋体"/>
                <w:kern w:val="0"/>
                <w:sz w:val="21"/>
                <w:szCs w:val="21"/>
              </w:rPr>
              <w:t>5.音准稳定性:≤±2音分；</w:t>
            </w:r>
          </w:p>
          <w:p>
            <w:pPr>
              <w:jc w:val="left"/>
              <w:rPr>
                <w:rFonts w:ascii="宋体" w:hAnsi="宋体" w:eastAsia="宋体" w:cs="宋体"/>
                <w:kern w:val="0"/>
                <w:sz w:val="21"/>
                <w:szCs w:val="21"/>
              </w:rPr>
            </w:pPr>
            <w:r>
              <w:rPr>
                <w:rFonts w:hint="eastAsia" w:ascii="宋体" w:hAnsi="宋体" w:eastAsia="宋体" w:cs="宋体"/>
                <w:kern w:val="0"/>
                <w:sz w:val="21"/>
                <w:szCs w:val="21"/>
              </w:rPr>
              <w:t>6.产品额定输出功率≥12 W；</w:t>
            </w:r>
          </w:p>
          <w:p>
            <w:pPr>
              <w:jc w:val="left"/>
              <w:rPr>
                <w:rFonts w:ascii="宋体" w:hAnsi="宋体" w:eastAsia="宋体" w:cs="Times New Roman"/>
                <w:bCs/>
                <w:kern w:val="0"/>
                <w:sz w:val="21"/>
                <w:szCs w:val="21"/>
              </w:rPr>
            </w:pPr>
            <w:r>
              <w:rPr>
                <w:rFonts w:hint="eastAsia" w:ascii="宋体" w:hAnsi="宋体" w:eastAsia="宋体" w:cs="宋体"/>
                <w:kern w:val="0"/>
                <w:sz w:val="21"/>
                <w:szCs w:val="21"/>
              </w:rPr>
              <w:t>7.具有滑盖或翻盖立式结构功能，</w:t>
            </w:r>
            <w:r>
              <w:rPr>
                <w:rFonts w:hint="eastAsia" w:ascii="宋体" w:hAnsi="宋体" w:eastAsia="宋体" w:cs="Times New Roman"/>
                <w:bCs/>
                <w:kern w:val="0"/>
                <w:sz w:val="21"/>
                <w:szCs w:val="21"/>
              </w:rPr>
              <w:t>结构牢固，安全可靠；</w:t>
            </w:r>
          </w:p>
          <w:p>
            <w:pPr>
              <w:jc w:val="left"/>
              <w:rPr>
                <w:rFonts w:ascii="宋体" w:hAnsi="宋体" w:eastAsia="宋体" w:cs="宋体"/>
                <w:kern w:val="0"/>
                <w:sz w:val="21"/>
                <w:szCs w:val="21"/>
              </w:rPr>
            </w:pPr>
            <w:r>
              <w:rPr>
                <w:rFonts w:hint="eastAsia" w:ascii="宋体" w:hAnsi="宋体" w:eastAsia="宋体" w:cs="宋体"/>
                <w:kern w:val="0"/>
                <w:sz w:val="21"/>
                <w:szCs w:val="21"/>
              </w:rPr>
              <w:t>8.琴壳：实木或塑料应符合有害物质限量要求；</w:t>
            </w:r>
          </w:p>
          <w:p>
            <w:pPr>
              <w:jc w:val="left"/>
              <w:rPr>
                <w:rFonts w:ascii="宋体" w:hAnsi="宋体" w:eastAsia="宋体" w:cs="Times New Roman"/>
                <w:kern w:val="0"/>
                <w:sz w:val="21"/>
                <w:szCs w:val="21"/>
              </w:rPr>
            </w:pPr>
            <w:r>
              <w:rPr>
                <w:rFonts w:hint="eastAsia" w:ascii="宋体" w:hAnsi="宋体" w:eastAsia="宋体" w:cs="Times New Roman"/>
                <w:kern w:val="0"/>
                <w:sz w:val="21"/>
                <w:szCs w:val="21"/>
              </w:rPr>
              <w:t>9.支持中英文显示；</w:t>
            </w:r>
          </w:p>
          <w:p>
            <w:pPr>
              <w:jc w:val="left"/>
              <w:rPr>
                <w:rFonts w:ascii="宋体" w:hAnsi="宋体" w:eastAsia="宋体" w:cs="Times New Roman"/>
                <w:kern w:val="0"/>
                <w:sz w:val="21"/>
                <w:szCs w:val="21"/>
              </w:rPr>
            </w:pPr>
            <w:r>
              <w:rPr>
                <w:rFonts w:hint="eastAsia" w:ascii="宋体" w:hAnsi="宋体" w:eastAsia="宋体" w:cs="Times New Roman"/>
                <w:kern w:val="0"/>
                <w:sz w:val="21"/>
                <w:szCs w:val="21"/>
              </w:rPr>
              <w:t>10.具有中国民族音色、民族节奏</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台</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39" w:type="dxa"/>
            <w:gridSpan w:val="5"/>
            <w:vAlign w:val="center"/>
          </w:tcPr>
          <w:p>
            <w:pPr>
              <w:widowControl/>
              <w:autoSpaceDE w:val="0"/>
              <w:autoSpaceDN w:val="0"/>
              <w:rPr>
                <w:rFonts w:ascii="宋体" w:hAnsi="宋体" w:eastAsia="宋体" w:cs="宋体"/>
                <w:b/>
                <w:kern w:val="0"/>
                <w:sz w:val="21"/>
                <w:szCs w:val="21"/>
              </w:rPr>
            </w:pPr>
            <w:r>
              <w:rPr>
                <w:rFonts w:hint="eastAsia" w:ascii="宋体" w:hAnsi="宋体" w:eastAsia="宋体" w:cs="宋体"/>
                <w:b/>
                <w:kern w:val="0"/>
                <w:sz w:val="21"/>
                <w:szCs w:val="21"/>
              </w:rPr>
              <w:t>三、教学软件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9</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数字化音乐互动教学系统（教师端）</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1.基于android/IOS/windows平台使用；</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2.乐谱教学模块：教师可使用系统内置的课件进行自由组合，组成课堂内容；</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3.乐理教学模块：听辨音练习（包括单音、音程、和弦、调式等），支持五线谱谱曲编辑；</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4.教师管理模块：可创建班级，逐个或批量添加学生，上传课件；</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5.互动教学模块：教师可下发弹奏任务和乐理习题到每个学生的学习终端，可查看学生的练习成绩</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套</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10</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数字化音乐互动教学系统（学生端）</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1.可对音乐教材习题进行打分。具有欣赏、跟弹、纠错三大教学模块；</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2.学生可以接收练习任务，完成后系统自动将练习成绩推送给教师；</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3.教师可对学生端显示内容进行控制管理；</w:t>
            </w:r>
          </w:p>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4.具有辅助乐理知识学习、评测功能、成绩统计汇总功能</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套</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39" w:type="dxa"/>
            <w:gridSpan w:val="5"/>
            <w:vAlign w:val="center"/>
          </w:tcPr>
          <w:p>
            <w:pPr>
              <w:widowControl/>
              <w:autoSpaceDE w:val="0"/>
              <w:autoSpaceDN w:val="0"/>
              <w:rPr>
                <w:rFonts w:ascii="宋体" w:hAnsi="宋体" w:eastAsia="宋体" w:cs="宋体"/>
                <w:b/>
                <w:kern w:val="0"/>
                <w:sz w:val="21"/>
                <w:szCs w:val="21"/>
              </w:rPr>
            </w:pPr>
            <w:r>
              <w:rPr>
                <w:rFonts w:hint="eastAsia" w:ascii="宋体" w:hAnsi="宋体" w:eastAsia="宋体" w:cs="宋体"/>
                <w:b/>
                <w:kern w:val="0"/>
                <w:sz w:val="21"/>
                <w:szCs w:val="21"/>
              </w:rPr>
              <w:t>四、基础设施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11</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琴凳</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立式皮革凳面</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根</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12</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乐器储藏柜</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防潮、防尘、防晒、防虫蛀，隔层可调节、带有滑动式托杆、可摆放不同类型乐器，内壁使用柔软材质包裹，便于移动，有锁</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个</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39" w:type="dxa"/>
            <w:gridSpan w:val="5"/>
            <w:vAlign w:val="center"/>
          </w:tcPr>
          <w:p>
            <w:pPr>
              <w:widowControl/>
              <w:autoSpaceDE w:val="0"/>
              <w:autoSpaceDN w:val="0"/>
              <w:rPr>
                <w:rFonts w:ascii="宋体" w:hAnsi="宋体" w:eastAsia="宋体" w:cs="宋体"/>
                <w:kern w:val="0"/>
                <w:sz w:val="20"/>
                <w:szCs w:val="21"/>
              </w:rPr>
            </w:pPr>
            <w:r>
              <w:rPr>
                <w:rFonts w:hint="eastAsia" w:ascii="宋体" w:hAnsi="宋体" w:eastAsia="宋体" w:cs="宋体"/>
                <w:b/>
                <w:kern w:val="0"/>
                <w:sz w:val="21"/>
                <w:szCs w:val="21"/>
              </w:rPr>
              <w:t>五、环境建设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13</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挂图灯箱</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铝合金成型灯箱，图片可替换式，Led光源</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个</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14</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挂图灯箱片</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地理</w:t>
            </w:r>
            <w:r>
              <w:rPr>
                <w:rFonts w:ascii="宋体" w:hAnsi="宋体" w:eastAsia="宋体" w:cs="宋体"/>
                <w:kern w:val="0"/>
                <w:sz w:val="21"/>
                <w:szCs w:val="21"/>
              </w:rPr>
              <w:t>学科相关</w:t>
            </w:r>
            <w:r>
              <w:rPr>
                <w:rFonts w:hint="eastAsia" w:ascii="宋体" w:hAnsi="宋体" w:eastAsia="宋体" w:cs="宋体"/>
                <w:kern w:val="0"/>
                <w:sz w:val="21"/>
                <w:szCs w:val="21"/>
              </w:rPr>
              <w:t>灯箱片， 1440dpi高清晰度，覆亮膜</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张</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15</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知识窗帘</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卷帘式，印制介绍中国和世界地理气候、地理知识等内容</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个</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16</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知识展板</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地理图片、配边框，装饰墙面</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张</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17</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天花工程</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石膏板天花吊顶，38轻钢龙骨，12mm纸面石膏板，局部软膜灯箱</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平方</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18</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墙面工程</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墙面造型，墙面乳胶漆，饰面隔板，局部车贴喷绘或壁纸</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平方</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19</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地面工程</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地面找平处理、地胶、PVC踢脚线安装</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平方</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20</w:t>
            </w:r>
          </w:p>
        </w:tc>
        <w:tc>
          <w:tcPr>
            <w:tcW w:w="198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强弱电布线工程部分</w:t>
            </w:r>
          </w:p>
        </w:tc>
        <w:tc>
          <w:tcPr>
            <w:tcW w:w="4111" w:type="dxa"/>
            <w:vAlign w:val="center"/>
          </w:tcPr>
          <w:p>
            <w:pPr>
              <w:widowControl/>
              <w:autoSpaceDE w:val="0"/>
              <w:autoSpaceDN w:val="0"/>
              <w:jc w:val="left"/>
              <w:rPr>
                <w:rFonts w:ascii="宋体" w:hAnsi="宋体" w:eastAsia="宋体" w:cs="宋体"/>
                <w:kern w:val="0"/>
                <w:sz w:val="21"/>
                <w:szCs w:val="21"/>
              </w:rPr>
            </w:pPr>
            <w:r>
              <w:rPr>
                <w:rFonts w:hint="eastAsia" w:ascii="宋体" w:hAnsi="宋体" w:eastAsia="宋体" w:cs="宋体"/>
                <w:kern w:val="0"/>
                <w:sz w:val="21"/>
                <w:szCs w:val="21"/>
              </w:rPr>
              <w:t>电路改造（强弱电综合布线）、开关面板及墙地面插座、灯具、LED灯带</w:t>
            </w:r>
          </w:p>
        </w:tc>
        <w:tc>
          <w:tcPr>
            <w:tcW w:w="1559"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套</w:t>
            </w:r>
          </w:p>
        </w:tc>
        <w:tc>
          <w:tcPr>
            <w:tcW w:w="1134" w:type="dxa"/>
            <w:vAlign w:val="center"/>
          </w:tcPr>
          <w:p>
            <w:pPr>
              <w:widowControl/>
              <w:autoSpaceDE w:val="0"/>
              <w:autoSpaceDN w:val="0"/>
              <w:jc w:val="center"/>
              <w:rPr>
                <w:rFonts w:ascii="宋体" w:hAnsi="宋体" w:eastAsia="宋体" w:cs="宋体"/>
                <w:kern w:val="0"/>
                <w:sz w:val="21"/>
                <w:szCs w:val="21"/>
              </w:rPr>
            </w:pPr>
            <w:r>
              <w:rPr>
                <w:rFonts w:hint="eastAsia" w:ascii="宋体" w:hAnsi="宋体" w:eastAsia="宋体" w:cs="宋体"/>
                <w:kern w:val="0"/>
                <w:sz w:val="21"/>
                <w:szCs w:val="21"/>
              </w:rPr>
              <w:t>1</w:t>
            </w:r>
          </w:p>
        </w:tc>
      </w:tr>
    </w:tbl>
    <w:p>
      <w:pPr>
        <w:pStyle w:val="37"/>
        <w:tabs>
          <w:tab w:val="clear" w:pos="4201"/>
        </w:tabs>
        <w:ind w:firstLine="0" w:firstLineChars="0"/>
        <w:jc w:val="left"/>
        <w:rPr>
          <w:rFonts w:asciiTheme="minorEastAsia" w:hAnsiTheme="minorEastAsia"/>
          <w:szCs w:val="21"/>
        </w:rPr>
      </w:pPr>
    </w:p>
    <w:p>
      <w:pPr>
        <w:pStyle w:val="2"/>
        <w:numPr>
          <w:ilvl w:val="0"/>
          <w:numId w:val="6"/>
        </w:numPr>
        <w:spacing w:before="0" w:after="0" w:line="720" w:lineRule="auto"/>
        <w:rPr>
          <w:rFonts w:ascii="黑体" w:hAnsi="黑体" w:eastAsia="黑体"/>
          <w:sz w:val="21"/>
          <w:szCs w:val="21"/>
          <w:lang w:val="zh-CN" w:eastAsia="zh-CN"/>
        </w:rPr>
      </w:pPr>
      <w:r>
        <w:rPr>
          <w:rFonts w:hint="eastAsia" w:ascii="黑体" w:hAnsi="黑体" w:eastAsia="黑体"/>
          <w:sz w:val="21"/>
          <w:szCs w:val="21"/>
          <w:lang w:val="zh-CN"/>
        </w:rPr>
        <w:t xml:space="preserve"> </w:t>
      </w:r>
      <w:r>
        <w:rPr>
          <w:rFonts w:ascii="黑体" w:hAnsi="黑体" w:eastAsia="黑体"/>
          <w:sz w:val="21"/>
          <w:szCs w:val="21"/>
          <w:lang w:val="zh-CN" w:eastAsia="zh-CN"/>
        </w:rPr>
        <w:t>管理要求</w:t>
      </w:r>
    </w:p>
    <w:p>
      <w:pPr>
        <w:pStyle w:val="3"/>
        <w:spacing w:before="0" w:after="0" w:line="480" w:lineRule="auto"/>
        <w:rPr>
          <w:rFonts w:ascii="黑体" w:hAnsi="黑体"/>
          <w:kern w:val="44"/>
          <w:sz w:val="21"/>
          <w:szCs w:val="21"/>
        </w:rPr>
      </w:pPr>
      <w:r>
        <w:rPr>
          <w:rFonts w:hint="eastAsia" w:ascii="黑体" w:hAnsi="黑体"/>
          <w:kern w:val="44"/>
          <w:sz w:val="21"/>
          <w:szCs w:val="21"/>
        </w:rPr>
        <w:t>6.1  制度建设</w:t>
      </w:r>
    </w:p>
    <w:p>
      <w:pPr>
        <w:spacing w:line="360" w:lineRule="auto"/>
        <w:ind w:firstLine="420" w:firstLineChars="200"/>
      </w:pPr>
      <w:r>
        <w:rPr>
          <w:rFonts w:hint="eastAsia"/>
        </w:rPr>
        <w:t>教室要建立健全各项规章制度和岗位责任制。</w:t>
      </w:r>
    </w:p>
    <w:p>
      <w:pPr>
        <w:pStyle w:val="3"/>
        <w:spacing w:before="0" w:after="0" w:line="480" w:lineRule="auto"/>
        <w:rPr>
          <w:rFonts w:ascii="黑体" w:hAnsi="黑体"/>
          <w:kern w:val="44"/>
          <w:sz w:val="21"/>
          <w:szCs w:val="21"/>
        </w:rPr>
      </w:pPr>
      <w:r>
        <w:rPr>
          <w:rFonts w:hint="eastAsia" w:ascii="黑体" w:hAnsi="黑体"/>
          <w:kern w:val="44"/>
          <w:sz w:val="21"/>
          <w:szCs w:val="21"/>
        </w:rPr>
        <w:t>6.2  人员配备</w:t>
      </w:r>
    </w:p>
    <w:p>
      <w:pPr>
        <w:spacing w:line="360" w:lineRule="auto"/>
        <w:ind w:firstLine="420" w:firstLineChars="200"/>
      </w:pPr>
      <w:r>
        <w:rPr>
          <w:rFonts w:hint="eastAsia"/>
        </w:rPr>
        <w:t>根据教学等工作任务的需要，教室应建立一支结构合理、相对稳定的队伍。包括教学教师、管理人员等。</w:t>
      </w:r>
    </w:p>
    <w:p>
      <w:pPr>
        <w:pStyle w:val="3"/>
        <w:spacing w:before="0" w:after="0" w:line="480" w:lineRule="auto"/>
        <w:rPr>
          <w:rFonts w:ascii="黑体" w:hAnsi="黑体"/>
          <w:kern w:val="44"/>
          <w:sz w:val="21"/>
          <w:szCs w:val="21"/>
        </w:rPr>
      </w:pPr>
      <w:r>
        <w:rPr>
          <w:rFonts w:hint="eastAsia" w:ascii="黑体" w:hAnsi="黑体"/>
          <w:kern w:val="44"/>
          <w:sz w:val="21"/>
          <w:szCs w:val="21"/>
        </w:rPr>
        <w:t>6.3  资产管理</w:t>
      </w:r>
    </w:p>
    <w:p>
      <w:pPr>
        <w:spacing w:line="360" w:lineRule="auto"/>
        <w:ind w:firstLine="420" w:firstLineChars="200"/>
      </w:pPr>
      <w:r>
        <w:rPr>
          <w:rFonts w:hint="eastAsia"/>
        </w:rPr>
        <w:t>设备采购和报废，必须建立登记和报废注销手续。设备损坏或丢失应查明原因，分清责任事故和非责任事故，经审核后，按学校有关管理规定办理报损、报废、报失和赔偿手续。</w:t>
      </w:r>
    </w:p>
    <w:p>
      <w:pPr>
        <w:pStyle w:val="3"/>
        <w:spacing w:before="0" w:after="0" w:line="480" w:lineRule="auto"/>
        <w:rPr>
          <w:rFonts w:ascii="黑体" w:hAnsi="黑体"/>
          <w:b w:val="0"/>
          <w:szCs w:val="21"/>
        </w:rPr>
      </w:pPr>
      <w:r>
        <w:rPr>
          <w:rFonts w:hint="eastAsia" w:ascii="黑体" w:hAnsi="黑体"/>
          <w:kern w:val="44"/>
          <w:sz w:val="21"/>
          <w:szCs w:val="21"/>
        </w:rPr>
        <w:t>6.4  档案管理</w:t>
      </w:r>
    </w:p>
    <w:p>
      <w:pPr>
        <w:spacing w:line="360" w:lineRule="auto"/>
        <w:ind w:firstLine="420" w:firstLineChars="200"/>
      </w:pPr>
      <w:r>
        <w:rPr>
          <w:rFonts w:hint="eastAsia"/>
        </w:rPr>
        <w:t>力求设备的技术档案和原始记录齐全，包括设备的技术资料、安装调试、验收、使用交接记录、损坏故障及维修养护记录等。</w:t>
      </w:r>
    </w:p>
    <w:p>
      <w:pPr>
        <w:pStyle w:val="3"/>
        <w:spacing w:before="0" w:after="0" w:line="480" w:lineRule="auto"/>
        <w:rPr>
          <w:rFonts w:ascii="黑体" w:hAnsi="黑体"/>
          <w:kern w:val="44"/>
          <w:sz w:val="21"/>
          <w:szCs w:val="21"/>
        </w:rPr>
      </w:pPr>
      <w:r>
        <w:rPr>
          <w:rFonts w:hint="eastAsia" w:ascii="黑体" w:hAnsi="黑体"/>
          <w:kern w:val="44"/>
          <w:sz w:val="21"/>
          <w:szCs w:val="21"/>
        </w:rPr>
        <w:t xml:space="preserve">6.5 </w:t>
      </w:r>
      <w:r>
        <w:rPr>
          <w:rFonts w:ascii="黑体" w:hAnsi="黑体"/>
          <w:kern w:val="44"/>
          <w:sz w:val="21"/>
          <w:szCs w:val="21"/>
        </w:rPr>
        <w:t xml:space="preserve"> </w:t>
      </w:r>
      <w:r>
        <w:rPr>
          <w:rFonts w:hint="eastAsia" w:ascii="黑体" w:hAnsi="黑体"/>
          <w:kern w:val="44"/>
          <w:sz w:val="21"/>
          <w:szCs w:val="21"/>
        </w:rPr>
        <w:t>系统维护</w:t>
      </w:r>
    </w:p>
    <w:p>
      <w:pPr>
        <w:spacing w:line="360" w:lineRule="auto"/>
        <w:ind w:firstLine="420" w:firstLineChars="200"/>
      </w:pPr>
      <w:r>
        <w:rPr>
          <w:rFonts w:hint="eastAsia"/>
        </w:rPr>
        <w:t>做好设备的维护、防尘、防潮、防盗等安全工作，提高设备的利用率和完好率。</w:t>
      </w:r>
    </w:p>
    <w:p>
      <w:pPr>
        <w:pStyle w:val="37"/>
        <w:ind w:firstLine="0" w:firstLineChars="0"/>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63BF"/>
    <w:multiLevelType w:val="multilevel"/>
    <w:tmpl w:val="047363BF"/>
    <w:lvl w:ilvl="0" w:tentative="0">
      <w:start w:val="4"/>
      <w:numFmt w:val="decimal"/>
      <w:lvlText w:val="%1"/>
      <w:lvlJc w:val="left"/>
      <w:pPr>
        <w:ind w:left="360" w:hanging="360"/>
      </w:pPr>
      <w:rPr>
        <w:rFonts w:hint="default" w:ascii="黑体" w:hAns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A994AF3"/>
    <w:multiLevelType w:val="multilevel"/>
    <w:tmpl w:val="0A994AF3"/>
    <w:lvl w:ilvl="0" w:tentative="0">
      <w:start w:val="1"/>
      <w:numFmt w:val="decimal"/>
      <w:lvlText w:val="%1"/>
      <w:lvlJc w:val="left"/>
      <w:pPr>
        <w:ind w:left="360" w:hanging="360"/>
      </w:pPr>
      <w:rPr>
        <w:rFonts w:hint="default" w:ascii="黑体" w:hAnsi="黑体" w:eastAsia="黑体"/>
        <w:b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D2E34C5"/>
    <w:multiLevelType w:val="multilevel"/>
    <w:tmpl w:val="1D2E34C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6D418B9"/>
    <w:multiLevelType w:val="multilevel"/>
    <w:tmpl w:val="36D418B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3E75E4E"/>
    <w:multiLevelType w:val="multilevel"/>
    <w:tmpl w:val="63E75E4E"/>
    <w:lvl w:ilvl="0" w:tentative="0">
      <w:start w:val="3"/>
      <w:numFmt w:val="decimal"/>
      <w:lvlText w:val="%1"/>
      <w:lvlJc w:val="left"/>
      <w:pPr>
        <w:ind w:left="360" w:hanging="360"/>
      </w:pPr>
      <w:rPr>
        <w:rFonts w:hint="default"/>
      </w:rPr>
    </w:lvl>
    <w:lvl w:ilvl="1" w:tentative="0">
      <w:start w:val="3"/>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5">
    <w:nsid w:val="670B5BF7"/>
    <w:multiLevelType w:val="multilevel"/>
    <w:tmpl w:val="670B5BF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CEA2025"/>
    <w:multiLevelType w:val="multilevel"/>
    <w:tmpl w:val="6CEA2025"/>
    <w:lvl w:ilvl="0" w:tentative="0">
      <w:start w:val="1"/>
      <w:numFmt w:val="none"/>
      <w:suff w:val="nothing"/>
      <w:lvlText w:val="%1"/>
      <w:lvlJc w:val="left"/>
      <w:rPr>
        <w:rFonts w:hint="default" w:ascii="Times New Roman" w:hAnsi="Times New Roman" w:cs="Times New Roman"/>
        <w:b/>
        <w:i w:val="0"/>
        <w:sz w:val="21"/>
      </w:rPr>
    </w:lvl>
    <w:lvl w:ilvl="1" w:tentative="0">
      <w:start w:val="1"/>
      <w:numFmt w:val="decimal"/>
      <w:suff w:val="nothing"/>
      <w:lvlText w:val="%1%2　"/>
      <w:lvlJc w:val="left"/>
      <w:rPr>
        <w:rFonts w:hint="eastAsia" w:ascii="黑体" w:hAnsi="Times New Roman" w:eastAsia="黑体" w:cs="Times New Roman"/>
        <w:b w:val="0"/>
        <w:i w:val="0"/>
        <w:sz w:val="21"/>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pPr>
        <w:ind w:left="735"/>
      </w:pPr>
      <w:rPr>
        <w:rFonts w:hint="eastAsia" w:ascii="黑体" w:hAnsi="Times New Roman" w:eastAsia="黑体" w:cs="Times New Roman"/>
        <w:b w:val="0"/>
        <w:i w:val="0"/>
        <w:sz w:val="21"/>
      </w:rPr>
    </w:lvl>
    <w:lvl w:ilvl="4" w:tentative="0">
      <w:start w:val="1"/>
      <w:numFmt w:val="decimal"/>
      <w:suff w:val="nothing"/>
      <w:lvlText w:val="%1%2.%3.%4.%5　"/>
      <w:lvlJc w:val="left"/>
      <w:pPr>
        <w:ind w:left="945"/>
      </w:pPr>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1"/>
  </w:num>
  <w:num w:numId="2">
    <w:abstractNumId w:val="5"/>
  </w:num>
  <w:num w:numId="3">
    <w:abstractNumId w:val="3"/>
  </w:num>
  <w:num w:numId="4">
    <w:abstractNumId w:val="4"/>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75D13"/>
    <w:rsid w:val="00005201"/>
    <w:rsid w:val="000157CF"/>
    <w:rsid w:val="00052973"/>
    <w:rsid w:val="0005355E"/>
    <w:rsid w:val="000963AB"/>
    <w:rsid w:val="000B29CD"/>
    <w:rsid w:val="000B51AE"/>
    <w:rsid w:val="000C6C8E"/>
    <w:rsid w:val="000D24D4"/>
    <w:rsid w:val="000D3D3E"/>
    <w:rsid w:val="000D5E28"/>
    <w:rsid w:val="00113910"/>
    <w:rsid w:val="0012626E"/>
    <w:rsid w:val="00143A92"/>
    <w:rsid w:val="0019567F"/>
    <w:rsid w:val="001D64A7"/>
    <w:rsid w:val="001E4DC2"/>
    <w:rsid w:val="00213361"/>
    <w:rsid w:val="002200C2"/>
    <w:rsid w:val="002201A0"/>
    <w:rsid w:val="00221C72"/>
    <w:rsid w:val="002260CC"/>
    <w:rsid w:val="00237A3F"/>
    <w:rsid w:val="00242274"/>
    <w:rsid w:val="0024586D"/>
    <w:rsid w:val="002A78AC"/>
    <w:rsid w:val="003138D8"/>
    <w:rsid w:val="003153DD"/>
    <w:rsid w:val="003259AC"/>
    <w:rsid w:val="003466C1"/>
    <w:rsid w:val="00351CA6"/>
    <w:rsid w:val="003944A8"/>
    <w:rsid w:val="003A6026"/>
    <w:rsid w:val="003D5113"/>
    <w:rsid w:val="003D57EE"/>
    <w:rsid w:val="003E37DE"/>
    <w:rsid w:val="00401772"/>
    <w:rsid w:val="00452AEC"/>
    <w:rsid w:val="0048094E"/>
    <w:rsid w:val="004B108A"/>
    <w:rsid w:val="004E6076"/>
    <w:rsid w:val="00502788"/>
    <w:rsid w:val="005046C4"/>
    <w:rsid w:val="00523D72"/>
    <w:rsid w:val="00533BA3"/>
    <w:rsid w:val="0059552C"/>
    <w:rsid w:val="005A0F2C"/>
    <w:rsid w:val="005B09E0"/>
    <w:rsid w:val="005B3E5F"/>
    <w:rsid w:val="005B6070"/>
    <w:rsid w:val="005F379C"/>
    <w:rsid w:val="006048FE"/>
    <w:rsid w:val="00625C6B"/>
    <w:rsid w:val="00663C86"/>
    <w:rsid w:val="006812E6"/>
    <w:rsid w:val="00694F8C"/>
    <w:rsid w:val="00696CB3"/>
    <w:rsid w:val="006C5F40"/>
    <w:rsid w:val="007017F3"/>
    <w:rsid w:val="0071007E"/>
    <w:rsid w:val="007117D6"/>
    <w:rsid w:val="00712B8E"/>
    <w:rsid w:val="00721224"/>
    <w:rsid w:val="0073465E"/>
    <w:rsid w:val="007A1DD9"/>
    <w:rsid w:val="007A4737"/>
    <w:rsid w:val="007C65F9"/>
    <w:rsid w:val="007D12C2"/>
    <w:rsid w:val="007D65AC"/>
    <w:rsid w:val="007D670A"/>
    <w:rsid w:val="007E0EAD"/>
    <w:rsid w:val="007E17A8"/>
    <w:rsid w:val="007F4985"/>
    <w:rsid w:val="00814AD9"/>
    <w:rsid w:val="008173BA"/>
    <w:rsid w:val="00830218"/>
    <w:rsid w:val="0086216B"/>
    <w:rsid w:val="0088643D"/>
    <w:rsid w:val="00892E91"/>
    <w:rsid w:val="008B659F"/>
    <w:rsid w:val="008C22D7"/>
    <w:rsid w:val="008C4503"/>
    <w:rsid w:val="008E5BDA"/>
    <w:rsid w:val="008F4583"/>
    <w:rsid w:val="008F5207"/>
    <w:rsid w:val="008F6F0F"/>
    <w:rsid w:val="00912EC7"/>
    <w:rsid w:val="00926745"/>
    <w:rsid w:val="00927627"/>
    <w:rsid w:val="00931C8F"/>
    <w:rsid w:val="00933E94"/>
    <w:rsid w:val="009A5926"/>
    <w:rsid w:val="009C459C"/>
    <w:rsid w:val="009F05BC"/>
    <w:rsid w:val="00A07399"/>
    <w:rsid w:val="00A41C00"/>
    <w:rsid w:val="00A53E3E"/>
    <w:rsid w:val="00A7159D"/>
    <w:rsid w:val="00A75D13"/>
    <w:rsid w:val="00A91539"/>
    <w:rsid w:val="00AD6060"/>
    <w:rsid w:val="00AE3155"/>
    <w:rsid w:val="00B20B9A"/>
    <w:rsid w:val="00B54740"/>
    <w:rsid w:val="00B629E3"/>
    <w:rsid w:val="00B73AA5"/>
    <w:rsid w:val="00B93854"/>
    <w:rsid w:val="00BD1A45"/>
    <w:rsid w:val="00BE2839"/>
    <w:rsid w:val="00BF2878"/>
    <w:rsid w:val="00C1260F"/>
    <w:rsid w:val="00C25B5C"/>
    <w:rsid w:val="00C448DC"/>
    <w:rsid w:val="00C45860"/>
    <w:rsid w:val="00C61AA1"/>
    <w:rsid w:val="00C73E24"/>
    <w:rsid w:val="00C87B77"/>
    <w:rsid w:val="00C940A8"/>
    <w:rsid w:val="00CB2909"/>
    <w:rsid w:val="00CC62C1"/>
    <w:rsid w:val="00CE612F"/>
    <w:rsid w:val="00CE78C1"/>
    <w:rsid w:val="00CF41D6"/>
    <w:rsid w:val="00CF6A98"/>
    <w:rsid w:val="00D3543B"/>
    <w:rsid w:val="00D74F53"/>
    <w:rsid w:val="00D9218E"/>
    <w:rsid w:val="00DA4339"/>
    <w:rsid w:val="00DB36B0"/>
    <w:rsid w:val="00DD029B"/>
    <w:rsid w:val="00DE18CC"/>
    <w:rsid w:val="00E02718"/>
    <w:rsid w:val="00E23BC6"/>
    <w:rsid w:val="00E259A7"/>
    <w:rsid w:val="00E51CA3"/>
    <w:rsid w:val="00E5657A"/>
    <w:rsid w:val="00E7112C"/>
    <w:rsid w:val="00E72ABB"/>
    <w:rsid w:val="00EB2A04"/>
    <w:rsid w:val="00EC6C23"/>
    <w:rsid w:val="00EF090E"/>
    <w:rsid w:val="00F235F4"/>
    <w:rsid w:val="00F36271"/>
    <w:rsid w:val="00F81B8F"/>
    <w:rsid w:val="00F87732"/>
    <w:rsid w:val="00F92E70"/>
    <w:rsid w:val="00FA4418"/>
    <w:rsid w:val="39976DE6"/>
    <w:rsid w:val="4F003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7"/>
    <w:qFormat/>
    <w:uiPriority w:val="9"/>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78"/>
    <w:qFormat/>
    <w:uiPriority w:val="9"/>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79"/>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1"/>
    <w:link w:val="80"/>
    <w:qFormat/>
    <w:uiPriority w:val="0"/>
    <w:pPr>
      <w:keepNext/>
      <w:keepLines/>
      <w:spacing w:before="280" w:after="290" w:line="372" w:lineRule="auto"/>
      <w:outlineLvl w:val="3"/>
    </w:pPr>
    <w:rPr>
      <w:rFonts w:ascii="Arial" w:hAnsi="Arial" w:eastAsia="黑体" w:cs="Times New Roman"/>
      <w:b/>
      <w:bCs/>
      <w:sz w:val="28"/>
      <w:szCs w:val="28"/>
    </w:rPr>
  </w:style>
  <w:style w:type="paragraph" w:styleId="6">
    <w:name w:val="heading 5"/>
    <w:basedOn w:val="1"/>
    <w:next w:val="1"/>
    <w:link w:val="81"/>
    <w:qFormat/>
    <w:uiPriority w:val="0"/>
    <w:pPr>
      <w:keepNext/>
      <w:keepLines/>
      <w:spacing w:before="280" w:after="290" w:line="372" w:lineRule="auto"/>
      <w:outlineLvl w:val="4"/>
    </w:pPr>
    <w:rPr>
      <w:rFonts w:ascii="Times New Roman" w:hAnsi="Times New Roman" w:eastAsia="宋体" w:cs="Times New Roman"/>
      <w:b/>
      <w:bCs/>
      <w:sz w:val="28"/>
      <w:szCs w:val="28"/>
    </w:rPr>
  </w:style>
  <w:style w:type="paragraph" w:styleId="7">
    <w:name w:val="heading 6"/>
    <w:basedOn w:val="1"/>
    <w:next w:val="1"/>
    <w:link w:val="82"/>
    <w:qFormat/>
    <w:uiPriority w:val="0"/>
    <w:pPr>
      <w:keepNext/>
      <w:keepLines/>
      <w:spacing w:before="240" w:after="64" w:line="317" w:lineRule="auto"/>
      <w:outlineLvl w:val="5"/>
    </w:pPr>
    <w:rPr>
      <w:rFonts w:ascii="Arial" w:hAnsi="Arial" w:eastAsia="黑体" w:cs="Times New Roman"/>
      <w:b/>
      <w:bCs/>
      <w:sz w:val="24"/>
      <w:szCs w:val="24"/>
    </w:rPr>
  </w:style>
  <w:style w:type="paragraph" w:styleId="8">
    <w:name w:val="heading 7"/>
    <w:basedOn w:val="1"/>
    <w:next w:val="1"/>
    <w:link w:val="83"/>
    <w:qFormat/>
    <w:uiPriority w:val="0"/>
    <w:pPr>
      <w:keepNext/>
      <w:keepLines/>
      <w:spacing w:before="240" w:after="64" w:line="317" w:lineRule="auto"/>
      <w:outlineLvl w:val="6"/>
    </w:pPr>
    <w:rPr>
      <w:rFonts w:ascii="Times New Roman" w:hAnsi="Times New Roman" w:eastAsia="宋体" w:cs="Times New Roman"/>
      <w:b/>
      <w:bCs/>
      <w:sz w:val="24"/>
      <w:szCs w:val="24"/>
    </w:rPr>
  </w:style>
  <w:style w:type="paragraph" w:styleId="9">
    <w:name w:val="heading 8"/>
    <w:basedOn w:val="1"/>
    <w:next w:val="1"/>
    <w:link w:val="84"/>
    <w:qFormat/>
    <w:uiPriority w:val="0"/>
    <w:pPr>
      <w:keepNext/>
      <w:keepLines/>
      <w:spacing w:before="240" w:after="64" w:line="317" w:lineRule="auto"/>
      <w:outlineLvl w:val="7"/>
    </w:pPr>
    <w:rPr>
      <w:rFonts w:ascii="Arial" w:hAnsi="Arial" w:eastAsia="黑体" w:cs="Times New Roman"/>
      <w:sz w:val="24"/>
      <w:szCs w:val="24"/>
    </w:rPr>
  </w:style>
  <w:style w:type="paragraph" w:styleId="10">
    <w:name w:val="heading 9"/>
    <w:basedOn w:val="1"/>
    <w:next w:val="1"/>
    <w:link w:val="85"/>
    <w:qFormat/>
    <w:uiPriority w:val="0"/>
    <w:pPr>
      <w:keepNext/>
      <w:keepLines/>
      <w:spacing w:before="240" w:after="64" w:line="317" w:lineRule="auto"/>
      <w:outlineLvl w:val="8"/>
    </w:pPr>
    <w:rPr>
      <w:rFonts w:ascii="Arial" w:hAnsi="Arial" w:eastAsia="黑体" w:cs="Times New Roman"/>
      <w:szCs w:val="21"/>
    </w:rPr>
  </w:style>
  <w:style w:type="character" w:default="1" w:styleId="49">
    <w:name w:val="Default Paragraph Font"/>
    <w:semiHidden/>
    <w:unhideWhenUsed/>
    <w:uiPriority w:val="1"/>
  </w:style>
  <w:style w:type="table" w:default="1" w:styleId="66">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114"/>
    <w:qFormat/>
    <w:uiPriority w:val="0"/>
    <w:rPr>
      <w:szCs w:val="24"/>
    </w:rPr>
  </w:style>
  <w:style w:type="paragraph" w:styleId="12">
    <w:name w:val="annotation text"/>
    <w:basedOn w:val="1"/>
    <w:link w:val="119"/>
    <w:unhideWhenUsed/>
    <w:qFormat/>
    <w:uiPriority w:val="0"/>
    <w:pPr>
      <w:jc w:val="left"/>
    </w:pPr>
  </w:style>
  <w:style w:type="paragraph" w:styleId="13">
    <w:name w:val="toc 7"/>
    <w:basedOn w:val="1"/>
    <w:next w:val="1"/>
    <w:qFormat/>
    <w:uiPriority w:val="0"/>
    <w:pPr>
      <w:tabs>
        <w:tab w:val="right" w:leader="dot" w:pos="9241"/>
      </w:tabs>
      <w:ind w:firstLine="505" w:firstLineChars="500"/>
      <w:jc w:val="left"/>
    </w:pPr>
    <w:rPr>
      <w:rFonts w:ascii="宋体" w:hAnsi="Times New Roman" w:eastAsia="宋体" w:cs="Times New Roman"/>
      <w:szCs w:val="21"/>
    </w:rPr>
  </w:style>
  <w:style w:type="paragraph" w:styleId="14">
    <w:name w:val="index 8"/>
    <w:basedOn w:val="1"/>
    <w:next w:val="1"/>
    <w:qFormat/>
    <w:uiPriority w:val="0"/>
    <w:pPr>
      <w:ind w:left="1680" w:hanging="210"/>
      <w:jc w:val="left"/>
    </w:pPr>
    <w:rPr>
      <w:rFonts w:ascii="Calibri" w:hAnsi="Calibri" w:eastAsia="宋体" w:cs="Times New Roman"/>
      <w:sz w:val="20"/>
      <w:szCs w:val="20"/>
    </w:rPr>
  </w:style>
  <w:style w:type="paragraph" w:styleId="15">
    <w:name w:val="caption"/>
    <w:basedOn w:val="1"/>
    <w:next w:val="1"/>
    <w:qFormat/>
    <w:uiPriority w:val="0"/>
    <w:pPr>
      <w:spacing w:before="152" w:after="160"/>
    </w:pPr>
    <w:rPr>
      <w:rFonts w:ascii="Arial" w:hAnsi="Arial" w:eastAsia="黑体" w:cs="Arial"/>
      <w:sz w:val="20"/>
      <w:szCs w:val="20"/>
    </w:rPr>
  </w:style>
  <w:style w:type="paragraph" w:styleId="16">
    <w:name w:val="index 5"/>
    <w:basedOn w:val="1"/>
    <w:next w:val="1"/>
    <w:qFormat/>
    <w:uiPriority w:val="0"/>
    <w:pPr>
      <w:ind w:left="1050" w:hanging="210"/>
      <w:jc w:val="left"/>
    </w:pPr>
    <w:rPr>
      <w:rFonts w:ascii="Calibri" w:hAnsi="Calibri" w:eastAsia="宋体" w:cs="Times New Roman"/>
      <w:sz w:val="20"/>
      <w:szCs w:val="20"/>
    </w:rPr>
  </w:style>
  <w:style w:type="paragraph" w:styleId="17">
    <w:name w:val="Document Map"/>
    <w:basedOn w:val="1"/>
    <w:link w:val="118"/>
    <w:qFormat/>
    <w:uiPriority w:val="0"/>
    <w:pPr>
      <w:shd w:val="clear" w:color="auto" w:fill="000080"/>
    </w:pPr>
    <w:rPr>
      <w:rFonts w:ascii="Times New Roman" w:hAnsi="Times New Roman" w:eastAsia="宋体" w:cs="Times New Roman"/>
      <w:szCs w:val="24"/>
    </w:rPr>
  </w:style>
  <w:style w:type="paragraph" w:styleId="18">
    <w:name w:val="index 6"/>
    <w:basedOn w:val="1"/>
    <w:next w:val="1"/>
    <w:qFormat/>
    <w:uiPriority w:val="0"/>
    <w:pPr>
      <w:ind w:left="1260" w:hanging="210"/>
      <w:jc w:val="left"/>
    </w:pPr>
    <w:rPr>
      <w:rFonts w:ascii="Calibri" w:hAnsi="Calibri" w:eastAsia="宋体" w:cs="Times New Roman"/>
      <w:sz w:val="20"/>
      <w:szCs w:val="20"/>
    </w:rPr>
  </w:style>
  <w:style w:type="paragraph" w:styleId="19">
    <w:name w:val="Body Text Indent"/>
    <w:basedOn w:val="1"/>
    <w:link w:val="117"/>
    <w:qFormat/>
    <w:uiPriority w:val="0"/>
    <w:pPr>
      <w:spacing w:after="120"/>
      <w:ind w:left="420" w:leftChars="200"/>
    </w:pPr>
    <w:rPr>
      <w:rFonts w:ascii="Times New Roman" w:hAnsi="Times New Roman" w:eastAsia="宋体" w:cs="Times New Roman"/>
      <w:szCs w:val="24"/>
    </w:rPr>
  </w:style>
  <w:style w:type="paragraph" w:styleId="20">
    <w:name w:val="HTML Address"/>
    <w:basedOn w:val="1"/>
    <w:link w:val="123"/>
    <w:qFormat/>
    <w:uiPriority w:val="0"/>
    <w:rPr>
      <w:rFonts w:ascii="Times New Roman" w:hAnsi="Times New Roman" w:eastAsia="宋体" w:cs="Times New Roman"/>
      <w:i/>
      <w:iCs/>
      <w:szCs w:val="24"/>
    </w:rPr>
  </w:style>
  <w:style w:type="paragraph" w:styleId="21">
    <w:name w:val="index 4"/>
    <w:basedOn w:val="1"/>
    <w:next w:val="1"/>
    <w:qFormat/>
    <w:uiPriority w:val="0"/>
    <w:pPr>
      <w:ind w:left="840" w:hanging="210"/>
      <w:jc w:val="left"/>
    </w:pPr>
    <w:rPr>
      <w:rFonts w:ascii="Calibri" w:hAnsi="Calibri" w:eastAsia="宋体" w:cs="Times New Roman"/>
      <w:sz w:val="20"/>
      <w:szCs w:val="20"/>
    </w:rPr>
  </w:style>
  <w:style w:type="paragraph" w:styleId="22">
    <w:name w:val="toc 5"/>
    <w:basedOn w:val="1"/>
    <w:next w:val="1"/>
    <w:qFormat/>
    <w:uiPriority w:val="0"/>
    <w:pPr>
      <w:tabs>
        <w:tab w:val="right" w:leader="dot" w:pos="9241"/>
      </w:tabs>
      <w:ind w:firstLine="300" w:firstLineChars="300"/>
      <w:jc w:val="left"/>
    </w:pPr>
    <w:rPr>
      <w:rFonts w:ascii="宋体" w:hAnsi="Times New Roman" w:eastAsia="宋体" w:cs="Times New Roman"/>
      <w:szCs w:val="21"/>
    </w:rPr>
  </w:style>
  <w:style w:type="paragraph" w:styleId="23">
    <w:name w:val="toc 3"/>
    <w:basedOn w:val="1"/>
    <w:next w:val="1"/>
    <w:qFormat/>
    <w:uiPriority w:val="0"/>
    <w:pPr>
      <w:tabs>
        <w:tab w:val="right" w:leader="dot" w:pos="9241"/>
      </w:tabs>
      <w:ind w:firstLine="102" w:firstLineChars="100"/>
      <w:jc w:val="left"/>
    </w:pPr>
    <w:rPr>
      <w:rFonts w:ascii="宋体" w:hAnsi="Times New Roman" w:eastAsia="宋体" w:cs="Times New Roman"/>
      <w:szCs w:val="21"/>
    </w:rPr>
  </w:style>
  <w:style w:type="paragraph" w:styleId="24">
    <w:name w:val="Plain Text"/>
    <w:basedOn w:val="1"/>
    <w:link w:val="122"/>
    <w:qFormat/>
    <w:uiPriority w:val="0"/>
    <w:rPr>
      <w:rFonts w:ascii="宋体" w:hAnsi="Courier New" w:eastAsia="宋体" w:cs="Century"/>
      <w:szCs w:val="21"/>
    </w:rPr>
  </w:style>
  <w:style w:type="paragraph" w:styleId="25">
    <w:name w:val="toc 8"/>
    <w:basedOn w:val="1"/>
    <w:next w:val="1"/>
    <w:qFormat/>
    <w:uiPriority w:val="0"/>
    <w:pPr>
      <w:tabs>
        <w:tab w:val="right" w:leader="dot" w:pos="9241"/>
      </w:tabs>
      <w:ind w:firstLine="607" w:firstLineChars="600"/>
      <w:jc w:val="left"/>
    </w:pPr>
    <w:rPr>
      <w:rFonts w:ascii="宋体" w:hAnsi="Times New Roman" w:eastAsia="宋体" w:cs="Times New Roman"/>
      <w:szCs w:val="21"/>
    </w:rPr>
  </w:style>
  <w:style w:type="paragraph" w:styleId="26">
    <w:name w:val="index 3"/>
    <w:basedOn w:val="1"/>
    <w:next w:val="1"/>
    <w:qFormat/>
    <w:uiPriority w:val="0"/>
    <w:pPr>
      <w:ind w:left="630" w:hanging="210"/>
      <w:jc w:val="left"/>
    </w:pPr>
    <w:rPr>
      <w:rFonts w:ascii="Calibri" w:hAnsi="Calibri" w:eastAsia="宋体" w:cs="Times New Roman"/>
      <w:sz w:val="20"/>
      <w:szCs w:val="20"/>
    </w:rPr>
  </w:style>
  <w:style w:type="paragraph" w:styleId="27">
    <w:name w:val="Date"/>
    <w:basedOn w:val="1"/>
    <w:next w:val="1"/>
    <w:link w:val="125"/>
    <w:qFormat/>
    <w:uiPriority w:val="0"/>
    <w:pPr>
      <w:ind w:left="100" w:leftChars="2500"/>
    </w:pPr>
    <w:rPr>
      <w:rFonts w:ascii="Times New Roman" w:hAnsi="Times New Roman" w:eastAsia="宋体" w:cs="Times New Roman"/>
      <w:szCs w:val="24"/>
    </w:rPr>
  </w:style>
  <w:style w:type="paragraph" w:styleId="28">
    <w:name w:val="Body Text Indent 2"/>
    <w:basedOn w:val="1"/>
    <w:link w:val="103"/>
    <w:qFormat/>
    <w:uiPriority w:val="0"/>
    <w:pPr>
      <w:ind w:left="420"/>
    </w:pPr>
    <w:rPr>
      <w:rFonts w:eastAsia="宋体"/>
      <w:szCs w:val="24"/>
    </w:rPr>
  </w:style>
  <w:style w:type="paragraph" w:styleId="29">
    <w:name w:val="endnote text"/>
    <w:basedOn w:val="1"/>
    <w:link w:val="128"/>
    <w:qFormat/>
    <w:uiPriority w:val="0"/>
    <w:pPr>
      <w:snapToGrid w:val="0"/>
      <w:jc w:val="left"/>
    </w:pPr>
    <w:rPr>
      <w:rFonts w:ascii="Times New Roman" w:hAnsi="Times New Roman" w:eastAsia="宋体" w:cs="Times New Roman"/>
      <w:szCs w:val="24"/>
    </w:rPr>
  </w:style>
  <w:style w:type="paragraph" w:styleId="30">
    <w:name w:val="Balloon Text"/>
    <w:basedOn w:val="1"/>
    <w:link w:val="74"/>
    <w:unhideWhenUsed/>
    <w:qFormat/>
    <w:uiPriority w:val="0"/>
    <w:rPr>
      <w:sz w:val="18"/>
      <w:szCs w:val="18"/>
    </w:rPr>
  </w:style>
  <w:style w:type="paragraph" w:styleId="31">
    <w:name w:val="footer"/>
    <w:basedOn w:val="1"/>
    <w:link w:val="70"/>
    <w:unhideWhenUsed/>
    <w:qFormat/>
    <w:uiPriority w:val="99"/>
    <w:pPr>
      <w:tabs>
        <w:tab w:val="center" w:pos="4153"/>
        <w:tab w:val="right" w:pos="8306"/>
      </w:tabs>
      <w:snapToGrid w:val="0"/>
      <w:jc w:val="left"/>
    </w:pPr>
    <w:rPr>
      <w:sz w:val="18"/>
      <w:szCs w:val="18"/>
    </w:rPr>
  </w:style>
  <w:style w:type="paragraph" w:styleId="32">
    <w:name w:val="header"/>
    <w:basedOn w:val="1"/>
    <w:link w:val="69"/>
    <w:unhideWhenUsed/>
    <w:qFormat/>
    <w:uiPriority w:val="99"/>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0"/>
    <w:pPr>
      <w:tabs>
        <w:tab w:val="right" w:leader="dot" w:pos="9241"/>
      </w:tabs>
      <w:spacing w:beforeLines="25" w:afterLines="25"/>
      <w:jc w:val="left"/>
    </w:pPr>
    <w:rPr>
      <w:rFonts w:ascii="宋体" w:hAnsi="Times New Roman" w:eastAsia="宋体" w:cs="Times New Roman"/>
      <w:szCs w:val="21"/>
    </w:rPr>
  </w:style>
  <w:style w:type="paragraph" w:styleId="34">
    <w:name w:val="toc 4"/>
    <w:basedOn w:val="1"/>
    <w:next w:val="1"/>
    <w:qFormat/>
    <w:uiPriority w:val="0"/>
    <w:pPr>
      <w:tabs>
        <w:tab w:val="right" w:leader="dot" w:pos="9241"/>
      </w:tabs>
      <w:ind w:firstLine="198" w:firstLineChars="200"/>
      <w:jc w:val="left"/>
    </w:pPr>
    <w:rPr>
      <w:rFonts w:ascii="宋体" w:hAnsi="Times New Roman" w:eastAsia="宋体" w:cs="Times New Roman"/>
      <w:szCs w:val="21"/>
    </w:rPr>
  </w:style>
  <w:style w:type="paragraph" w:styleId="35">
    <w:name w:val="index heading"/>
    <w:basedOn w:val="1"/>
    <w:next w:val="36"/>
    <w:qFormat/>
    <w:uiPriority w:val="0"/>
    <w:pPr>
      <w:spacing w:before="120" w:after="120"/>
      <w:jc w:val="center"/>
    </w:pPr>
    <w:rPr>
      <w:rFonts w:ascii="Calibri" w:hAnsi="Calibri" w:eastAsia="宋体" w:cs="Times New Roman"/>
      <w:b/>
      <w:bCs/>
      <w:iCs/>
      <w:szCs w:val="20"/>
    </w:rPr>
  </w:style>
  <w:style w:type="paragraph" w:styleId="36">
    <w:name w:val="index 1"/>
    <w:basedOn w:val="1"/>
    <w:next w:val="37"/>
    <w:qFormat/>
    <w:uiPriority w:val="0"/>
    <w:pPr>
      <w:tabs>
        <w:tab w:val="right" w:leader="dot" w:pos="9299"/>
      </w:tabs>
      <w:jc w:val="left"/>
    </w:pPr>
    <w:rPr>
      <w:rFonts w:ascii="宋体" w:hAnsi="Times New Roman" w:eastAsia="宋体" w:cs="Times New Roman"/>
      <w:szCs w:val="21"/>
    </w:rPr>
  </w:style>
  <w:style w:type="paragraph" w:customStyle="1" w:styleId="37">
    <w:name w:val="段"/>
    <w:link w:val="73"/>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styleId="38">
    <w:name w:val="footnote text"/>
    <w:basedOn w:val="1"/>
    <w:link w:val="126"/>
    <w:qFormat/>
    <w:uiPriority w:val="0"/>
    <w:pPr>
      <w:tabs>
        <w:tab w:val="left" w:pos="0"/>
      </w:tabs>
      <w:snapToGrid w:val="0"/>
      <w:ind w:left="720" w:hanging="357"/>
      <w:jc w:val="left"/>
    </w:pPr>
    <w:rPr>
      <w:rFonts w:ascii="宋体" w:hAnsi="Times New Roman" w:eastAsia="宋体" w:cs="Times New Roman"/>
      <w:sz w:val="18"/>
      <w:szCs w:val="18"/>
    </w:rPr>
  </w:style>
  <w:style w:type="paragraph" w:styleId="39">
    <w:name w:val="toc 6"/>
    <w:basedOn w:val="1"/>
    <w:next w:val="1"/>
    <w:uiPriority w:val="0"/>
    <w:pPr>
      <w:tabs>
        <w:tab w:val="right" w:leader="dot" w:pos="9241"/>
      </w:tabs>
      <w:ind w:firstLine="403" w:firstLineChars="400"/>
      <w:jc w:val="left"/>
    </w:pPr>
    <w:rPr>
      <w:rFonts w:ascii="宋体" w:hAnsi="Times New Roman" w:eastAsia="宋体" w:cs="Times New Roman"/>
      <w:szCs w:val="21"/>
    </w:rPr>
  </w:style>
  <w:style w:type="paragraph" w:styleId="40">
    <w:name w:val="Body Text Indent 3"/>
    <w:basedOn w:val="1"/>
    <w:link w:val="124"/>
    <w:qFormat/>
    <w:uiPriority w:val="0"/>
    <w:pPr>
      <w:spacing w:after="120"/>
      <w:ind w:left="420" w:leftChars="200"/>
    </w:pPr>
    <w:rPr>
      <w:rFonts w:ascii="Times New Roman" w:hAnsi="Times New Roman" w:eastAsia="宋体" w:cs="Times New Roman"/>
      <w:sz w:val="16"/>
      <w:szCs w:val="16"/>
    </w:rPr>
  </w:style>
  <w:style w:type="paragraph" w:styleId="41">
    <w:name w:val="index 7"/>
    <w:basedOn w:val="1"/>
    <w:next w:val="1"/>
    <w:qFormat/>
    <w:uiPriority w:val="0"/>
    <w:pPr>
      <w:ind w:left="1470" w:hanging="210"/>
      <w:jc w:val="left"/>
    </w:pPr>
    <w:rPr>
      <w:rFonts w:ascii="Calibri" w:hAnsi="Calibri" w:eastAsia="宋体" w:cs="Times New Roman"/>
      <w:sz w:val="20"/>
      <w:szCs w:val="20"/>
    </w:rPr>
  </w:style>
  <w:style w:type="paragraph" w:styleId="42">
    <w:name w:val="index 9"/>
    <w:basedOn w:val="1"/>
    <w:next w:val="1"/>
    <w:qFormat/>
    <w:uiPriority w:val="0"/>
    <w:pPr>
      <w:ind w:left="1890" w:hanging="210"/>
      <w:jc w:val="left"/>
    </w:pPr>
    <w:rPr>
      <w:rFonts w:ascii="Calibri" w:hAnsi="Calibri" w:eastAsia="宋体" w:cs="Times New Roman"/>
      <w:sz w:val="20"/>
      <w:szCs w:val="20"/>
    </w:rPr>
  </w:style>
  <w:style w:type="paragraph" w:styleId="43">
    <w:name w:val="toc 2"/>
    <w:basedOn w:val="1"/>
    <w:next w:val="1"/>
    <w:qFormat/>
    <w:uiPriority w:val="0"/>
    <w:pPr>
      <w:tabs>
        <w:tab w:val="right" w:leader="dot" w:pos="9241"/>
      </w:tabs>
    </w:pPr>
    <w:rPr>
      <w:rFonts w:ascii="宋体" w:hAnsi="Times New Roman" w:eastAsia="宋体" w:cs="Times New Roman"/>
      <w:szCs w:val="21"/>
    </w:rPr>
  </w:style>
  <w:style w:type="paragraph" w:styleId="44">
    <w:name w:val="toc 9"/>
    <w:basedOn w:val="1"/>
    <w:next w:val="1"/>
    <w:qFormat/>
    <w:uiPriority w:val="0"/>
    <w:pPr>
      <w:ind w:left="1470"/>
      <w:jc w:val="left"/>
    </w:pPr>
    <w:rPr>
      <w:rFonts w:ascii="Times New Roman" w:hAnsi="Times New Roman" w:eastAsia="宋体" w:cs="Times New Roman"/>
      <w:sz w:val="20"/>
      <w:szCs w:val="20"/>
    </w:rPr>
  </w:style>
  <w:style w:type="paragraph" w:styleId="45">
    <w:name w:val="HTML Preformatted"/>
    <w:basedOn w:val="1"/>
    <w:link w:val="129"/>
    <w:uiPriority w:val="0"/>
    <w:rPr>
      <w:rFonts w:ascii="Courier New" w:hAnsi="Courier New" w:eastAsia="宋体" w:cs="Courier New"/>
      <w:sz w:val="20"/>
      <w:szCs w:val="20"/>
    </w:rPr>
  </w:style>
  <w:style w:type="paragraph" w:styleId="46">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styleId="47">
    <w:name w:val="index 2"/>
    <w:basedOn w:val="1"/>
    <w:next w:val="1"/>
    <w:qFormat/>
    <w:uiPriority w:val="0"/>
    <w:pPr>
      <w:ind w:left="420" w:hanging="210"/>
      <w:jc w:val="left"/>
    </w:pPr>
    <w:rPr>
      <w:rFonts w:ascii="Calibri" w:hAnsi="Calibri" w:eastAsia="宋体" w:cs="Times New Roman"/>
      <w:sz w:val="20"/>
      <w:szCs w:val="20"/>
    </w:rPr>
  </w:style>
  <w:style w:type="paragraph" w:styleId="48">
    <w:name w:val="Title"/>
    <w:basedOn w:val="1"/>
    <w:link w:val="121"/>
    <w:qFormat/>
    <w:uiPriority w:val="0"/>
    <w:pPr>
      <w:spacing w:before="240" w:after="60"/>
      <w:jc w:val="center"/>
      <w:outlineLvl w:val="0"/>
    </w:pPr>
    <w:rPr>
      <w:rFonts w:ascii="Arial" w:hAnsi="Arial" w:eastAsia="宋体" w:cs="Arial"/>
      <w:b/>
      <w:bCs/>
      <w:sz w:val="32"/>
      <w:szCs w:val="32"/>
    </w:rPr>
  </w:style>
  <w:style w:type="character" w:styleId="50">
    <w:name w:val="Strong"/>
    <w:qFormat/>
    <w:uiPriority w:val="22"/>
    <w:rPr>
      <w:b/>
      <w:bCs/>
    </w:rPr>
  </w:style>
  <w:style w:type="character" w:styleId="51">
    <w:name w:val="endnote reference"/>
    <w:qFormat/>
    <w:uiPriority w:val="0"/>
    <w:rPr>
      <w:vertAlign w:val="superscript"/>
    </w:rPr>
  </w:style>
  <w:style w:type="character" w:styleId="52">
    <w:name w:val="page number"/>
    <w:qFormat/>
    <w:uiPriority w:val="0"/>
    <w:rPr>
      <w:rFonts w:ascii="Times New Roman" w:hAnsi="Times New Roman" w:eastAsia="宋体"/>
      <w:sz w:val="18"/>
    </w:rPr>
  </w:style>
  <w:style w:type="character" w:styleId="53">
    <w:name w:val="FollowedHyperlink"/>
    <w:qFormat/>
    <w:uiPriority w:val="0"/>
    <w:rPr>
      <w:color w:val="800080"/>
      <w:u w:val="single"/>
    </w:rPr>
  </w:style>
  <w:style w:type="character" w:styleId="54">
    <w:name w:val="Emphasis"/>
    <w:basedOn w:val="49"/>
    <w:qFormat/>
    <w:uiPriority w:val="20"/>
  </w:style>
  <w:style w:type="character" w:styleId="55">
    <w:name w:val="HTML Definition"/>
    <w:qFormat/>
    <w:uiPriority w:val="0"/>
    <w:rPr>
      <w:i/>
      <w:iCs/>
    </w:rPr>
  </w:style>
  <w:style w:type="character" w:styleId="56">
    <w:name w:val="HTML Typewriter"/>
    <w:qFormat/>
    <w:uiPriority w:val="0"/>
    <w:rPr>
      <w:rFonts w:ascii="Courier New" w:hAnsi="Courier New"/>
      <w:sz w:val="20"/>
      <w:szCs w:val="20"/>
    </w:rPr>
  </w:style>
  <w:style w:type="character" w:styleId="57">
    <w:name w:val="HTML Acronym"/>
    <w:basedOn w:val="49"/>
    <w:qFormat/>
    <w:uiPriority w:val="0"/>
  </w:style>
  <w:style w:type="character" w:styleId="58">
    <w:name w:val="HTML Variable"/>
    <w:qFormat/>
    <w:uiPriority w:val="0"/>
    <w:rPr>
      <w:i/>
      <w:iCs/>
    </w:rPr>
  </w:style>
  <w:style w:type="character" w:styleId="59">
    <w:name w:val="Hyperlink"/>
    <w:qFormat/>
    <w:uiPriority w:val="0"/>
    <w:rPr>
      <w:color w:val="0000FF"/>
      <w:spacing w:val="0"/>
      <w:w w:val="100"/>
      <w:szCs w:val="21"/>
      <w:u w:val="single"/>
      <w:lang w:val="en-US" w:eastAsia="zh-CN"/>
    </w:rPr>
  </w:style>
  <w:style w:type="character" w:styleId="60">
    <w:name w:val="HTML Code"/>
    <w:qFormat/>
    <w:uiPriority w:val="0"/>
    <w:rPr>
      <w:rFonts w:ascii="Courier New" w:hAnsi="Courier New"/>
      <w:sz w:val="20"/>
      <w:szCs w:val="20"/>
    </w:rPr>
  </w:style>
  <w:style w:type="character" w:styleId="61">
    <w:name w:val="annotation reference"/>
    <w:qFormat/>
    <w:uiPriority w:val="0"/>
    <w:rPr>
      <w:sz w:val="21"/>
      <w:szCs w:val="21"/>
    </w:rPr>
  </w:style>
  <w:style w:type="character" w:styleId="62">
    <w:name w:val="HTML Cite"/>
    <w:qFormat/>
    <w:uiPriority w:val="0"/>
    <w:rPr>
      <w:i/>
      <w:iCs/>
    </w:rPr>
  </w:style>
  <w:style w:type="character" w:styleId="63">
    <w:name w:val="footnote reference"/>
    <w:qFormat/>
    <w:uiPriority w:val="0"/>
    <w:rPr>
      <w:vertAlign w:val="superscript"/>
    </w:rPr>
  </w:style>
  <w:style w:type="character" w:styleId="64">
    <w:name w:val="HTML Keyboard"/>
    <w:qFormat/>
    <w:uiPriority w:val="0"/>
    <w:rPr>
      <w:rFonts w:ascii="Courier New" w:hAnsi="Courier New"/>
      <w:sz w:val="20"/>
      <w:szCs w:val="20"/>
    </w:rPr>
  </w:style>
  <w:style w:type="character" w:styleId="65">
    <w:name w:val="HTML Sample"/>
    <w:qFormat/>
    <w:uiPriority w:val="0"/>
    <w:rPr>
      <w:rFonts w:ascii="Courier New" w:hAnsi="Courier New"/>
    </w:rPr>
  </w:style>
  <w:style w:type="table" w:styleId="67">
    <w:name w:val="Table Grid"/>
    <w:basedOn w:val="66"/>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68">
    <w:name w:val="List Paragraph"/>
    <w:basedOn w:val="1"/>
    <w:qFormat/>
    <w:uiPriority w:val="34"/>
    <w:pPr>
      <w:ind w:firstLine="420" w:firstLineChars="200"/>
    </w:pPr>
    <w:rPr>
      <w:rFonts w:ascii="Times New Roman" w:hAnsi="Times New Roman" w:eastAsia="宋体" w:cs="Times New Roman"/>
    </w:rPr>
  </w:style>
  <w:style w:type="character" w:customStyle="1" w:styleId="69">
    <w:name w:val="页眉 Char"/>
    <w:basedOn w:val="49"/>
    <w:link w:val="32"/>
    <w:qFormat/>
    <w:uiPriority w:val="99"/>
    <w:rPr>
      <w:sz w:val="18"/>
      <w:szCs w:val="18"/>
    </w:rPr>
  </w:style>
  <w:style w:type="character" w:customStyle="1" w:styleId="70">
    <w:name w:val="页脚 Char"/>
    <w:basedOn w:val="49"/>
    <w:link w:val="31"/>
    <w:qFormat/>
    <w:uiPriority w:val="99"/>
    <w:rPr>
      <w:sz w:val="18"/>
      <w:szCs w:val="18"/>
    </w:rPr>
  </w:style>
  <w:style w:type="paragraph" w:customStyle="1" w:styleId="71">
    <w:name w:val="ordinary-output target-output"/>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2">
    <w:name w:val="high-light-bg4"/>
    <w:basedOn w:val="49"/>
    <w:qFormat/>
    <w:uiPriority w:val="0"/>
  </w:style>
  <w:style w:type="character" w:customStyle="1" w:styleId="73">
    <w:name w:val="段 Char Char"/>
    <w:link w:val="37"/>
    <w:qFormat/>
    <w:uiPriority w:val="0"/>
    <w:rPr>
      <w:rFonts w:ascii="宋体"/>
    </w:rPr>
  </w:style>
  <w:style w:type="character" w:customStyle="1" w:styleId="74">
    <w:name w:val="批注框文本 Char"/>
    <w:basedOn w:val="49"/>
    <w:link w:val="30"/>
    <w:semiHidden/>
    <w:qFormat/>
    <w:uiPriority w:val="99"/>
    <w:rPr>
      <w:sz w:val="18"/>
      <w:szCs w:val="18"/>
    </w:rPr>
  </w:style>
  <w:style w:type="paragraph" w:customStyle="1" w:styleId="75">
    <w:name w:val="二级条标题"/>
    <w:basedOn w:val="76"/>
    <w:next w:val="37"/>
    <w:qFormat/>
    <w:uiPriority w:val="0"/>
    <w:pPr>
      <w:ind w:left="1680"/>
      <w:outlineLvl w:val="3"/>
    </w:pPr>
  </w:style>
  <w:style w:type="paragraph" w:customStyle="1" w:styleId="76">
    <w:name w:val="一级条标题"/>
    <w:basedOn w:val="1"/>
    <w:next w:val="1"/>
    <w:link w:val="102"/>
    <w:qFormat/>
    <w:uiPriority w:val="0"/>
    <w:pPr>
      <w:widowControl/>
      <w:ind w:left="1260" w:hanging="420"/>
      <w:outlineLvl w:val="2"/>
    </w:pPr>
    <w:rPr>
      <w:rFonts w:ascii="黑体" w:hAnsi="Times New Roman" w:eastAsia="黑体" w:cs="Times New Roman"/>
      <w:kern w:val="0"/>
      <w:szCs w:val="20"/>
    </w:rPr>
  </w:style>
  <w:style w:type="character" w:customStyle="1" w:styleId="77">
    <w:name w:val="标题 1 Char"/>
    <w:basedOn w:val="49"/>
    <w:link w:val="2"/>
    <w:qFormat/>
    <w:uiPriority w:val="9"/>
    <w:rPr>
      <w:rFonts w:ascii="Times New Roman" w:hAnsi="Times New Roman" w:eastAsia="宋体" w:cs="Times New Roman"/>
      <w:b/>
      <w:bCs/>
      <w:kern w:val="44"/>
      <w:sz w:val="44"/>
      <w:szCs w:val="44"/>
    </w:rPr>
  </w:style>
  <w:style w:type="character" w:customStyle="1" w:styleId="78">
    <w:name w:val="标题 2 Char"/>
    <w:basedOn w:val="49"/>
    <w:link w:val="3"/>
    <w:qFormat/>
    <w:uiPriority w:val="9"/>
    <w:rPr>
      <w:rFonts w:ascii="Arial" w:hAnsi="Arial" w:eastAsia="黑体" w:cs="Times New Roman"/>
      <w:b/>
      <w:bCs/>
      <w:sz w:val="32"/>
      <w:szCs w:val="32"/>
    </w:rPr>
  </w:style>
  <w:style w:type="character" w:customStyle="1" w:styleId="79">
    <w:name w:val="标题 3 Char"/>
    <w:basedOn w:val="49"/>
    <w:link w:val="4"/>
    <w:qFormat/>
    <w:uiPriority w:val="0"/>
    <w:rPr>
      <w:rFonts w:ascii="Times New Roman" w:hAnsi="Times New Roman" w:eastAsia="宋体" w:cs="Times New Roman"/>
      <w:b/>
      <w:bCs/>
      <w:sz w:val="32"/>
      <w:szCs w:val="32"/>
    </w:rPr>
  </w:style>
  <w:style w:type="character" w:customStyle="1" w:styleId="80">
    <w:name w:val="标题 4 Char"/>
    <w:basedOn w:val="49"/>
    <w:link w:val="5"/>
    <w:qFormat/>
    <w:uiPriority w:val="0"/>
    <w:rPr>
      <w:rFonts w:ascii="Arial" w:hAnsi="Arial" w:eastAsia="黑体" w:cs="Times New Roman"/>
      <w:b/>
      <w:bCs/>
      <w:sz w:val="28"/>
      <w:szCs w:val="28"/>
    </w:rPr>
  </w:style>
  <w:style w:type="character" w:customStyle="1" w:styleId="81">
    <w:name w:val="标题 5 Char"/>
    <w:basedOn w:val="49"/>
    <w:link w:val="6"/>
    <w:qFormat/>
    <w:uiPriority w:val="0"/>
    <w:rPr>
      <w:rFonts w:ascii="Times New Roman" w:hAnsi="Times New Roman" w:eastAsia="宋体" w:cs="Times New Roman"/>
      <w:b/>
      <w:bCs/>
      <w:sz w:val="28"/>
      <w:szCs w:val="28"/>
    </w:rPr>
  </w:style>
  <w:style w:type="character" w:customStyle="1" w:styleId="82">
    <w:name w:val="标题 6 Char"/>
    <w:basedOn w:val="49"/>
    <w:link w:val="7"/>
    <w:qFormat/>
    <w:uiPriority w:val="0"/>
    <w:rPr>
      <w:rFonts w:ascii="Arial" w:hAnsi="Arial" w:eastAsia="黑体" w:cs="Times New Roman"/>
      <w:b/>
      <w:bCs/>
      <w:sz w:val="24"/>
      <w:szCs w:val="24"/>
    </w:rPr>
  </w:style>
  <w:style w:type="character" w:customStyle="1" w:styleId="83">
    <w:name w:val="标题 7 Char"/>
    <w:basedOn w:val="49"/>
    <w:link w:val="8"/>
    <w:qFormat/>
    <w:uiPriority w:val="0"/>
    <w:rPr>
      <w:rFonts w:ascii="Times New Roman" w:hAnsi="Times New Roman" w:eastAsia="宋体" w:cs="Times New Roman"/>
      <w:b/>
      <w:bCs/>
      <w:sz w:val="24"/>
      <w:szCs w:val="24"/>
    </w:rPr>
  </w:style>
  <w:style w:type="character" w:customStyle="1" w:styleId="84">
    <w:name w:val="标题 8 Char"/>
    <w:basedOn w:val="49"/>
    <w:link w:val="9"/>
    <w:qFormat/>
    <w:uiPriority w:val="0"/>
    <w:rPr>
      <w:rFonts w:ascii="Arial" w:hAnsi="Arial" w:eastAsia="黑体" w:cs="Times New Roman"/>
      <w:sz w:val="24"/>
      <w:szCs w:val="24"/>
    </w:rPr>
  </w:style>
  <w:style w:type="character" w:customStyle="1" w:styleId="85">
    <w:name w:val="标题 9 Char"/>
    <w:basedOn w:val="49"/>
    <w:link w:val="10"/>
    <w:qFormat/>
    <w:uiPriority w:val="0"/>
    <w:rPr>
      <w:rFonts w:ascii="Arial" w:hAnsi="Arial" w:eastAsia="黑体" w:cs="Times New Roman"/>
      <w:szCs w:val="21"/>
    </w:rPr>
  </w:style>
  <w:style w:type="character" w:customStyle="1" w:styleId="86">
    <w:name w:val="text_blue1"/>
    <w:qFormat/>
    <w:uiPriority w:val="0"/>
    <w:rPr>
      <w:color w:val="0348C1"/>
    </w:rPr>
  </w:style>
  <w:style w:type="character" w:customStyle="1" w:styleId="87">
    <w:name w:val="Char Char3"/>
    <w:qFormat/>
    <w:uiPriority w:val="0"/>
    <w:rPr>
      <w:rFonts w:eastAsia="宋体"/>
      <w:kern w:val="2"/>
      <w:sz w:val="18"/>
      <w:szCs w:val="18"/>
      <w:lang w:val="en-US" w:eastAsia="zh-CN" w:bidi="ar-SA"/>
    </w:rPr>
  </w:style>
  <w:style w:type="character" w:customStyle="1" w:styleId="88">
    <w:name w:val="font11"/>
    <w:qFormat/>
    <w:uiPriority w:val="0"/>
    <w:rPr>
      <w:rFonts w:hint="default" w:ascii="Cambria" w:hAnsi="Cambria"/>
      <w:color w:val="000000"/>
      <w:sz w:val="20"/>
      <w:szCs w:val="20"/>
      <w:u w:val="none"/>
    </w:rPr>
  </w:style>
  <w:style w:type="character" w:customStyle="1" w:styleId="89">
    <w:name w:val="正文文本_"/>
    <w:link w:val="90"/>
    <w:qFormat/>
    <w:locked/>
    <w:uiPriority w:val="0"/>
    <w:rPr>
      <w:rFonts w:ascii="MingLiU" w:hAnsi="MingLiU" w:eastAsia="MingLiU"/>
      <w:spacing w:val="20"/>
      <w:sz w:val="44"/>
      <w:szCs w:val="44"/>
      <w:shd w:val="clear" w:color="auto" w:fill="FFFFFF"/>
    </w:rPr>
  </w:style>
  <w:style w:type="paragraph" w:customStyle="1" w:styleId="90">
    <w:name w:val="正文文本1"/>
    <w:basedOn w:val="1"/>
    <w:link w:val="89"/>
    <w:qFormat/>
    <w:uiPriority w:val="0"/>
    <w:pPr>
      <w:shd w:val="clear" w:color="auto" w:fill="FFFFFF"/>
      <w:spacing w:before="180" w:after="3240" w:line="240" w:lineRule="atLeast"/>
      <w:jc w:val="left"/>
    </w:pPr>
    <w:rPr>
      <w:rFonts w:ascii="MingLiU" w:hAnsi="MingLiU" w:eastAsia="MingLiU"/>
      <w:spacing w:val="20"/>
      <w:sz w:val="44"/>
      <w:szCs w:val="44"/>
    </w:rPr>
  </w:style>
  <w:style w:type="character" w:customStyle="1" w:styleId="91">
    <w:name w:val="Char Char2"/>
    <w:qFormat/>
    <w:uiPriority w:val="0"/>
    <w:rPr>
      <w:rFonts w:eastAsia="宋体"/>
      <w:kern w:val="2"/>
      <w:sz w:val="18"/>
      <w:szCs w:val="18"/>
      <w:lang w:val="en-US" w:eastAsia="zh-CN" w:bidi="ar-SA"/>
    </w:rPr>
  </w:style>
  <w:style w:type="character" w:customStyle="1" w:styleId="92">
    <w:name w:val="Char Char7"/>
    <w:qFormat/>
    <w:uiPriority w:val="0"/>
    <w:rPr>
      <w:rFonts w:eastAsia="宋体"/>
      <w:b/>
      <w:bCs/>
      <w:kern w:val="44"/>
      <w:sz w:val="44"/>
      <w:szCs w:val="44"/>
      <w:lang w:val="en-US" w:eastAsia="zh-CN" w:bidi="ar-SA"/>
    </w:rPr>
  </w:style>
  <w:style w:type="character" w:customStyle="1" w:styleId="93">
    <w:name w:val="段 Char"/>
    <w:qFormat/>
    <w:locked/>
    <w:uiPriority w:val="0"/>
    <w:rPr>
      <w:rFonts w:ascii="宋体" w:hAnsi="宋体" w:eastAsia="宋体"/>
      <w:sz w:val="21"/>
      <w:lang w:val="en-US" w:eastAsia="zh-CN" w:bidi="ar-SA"/>
    </w:rPr>
  </w:style>
  <w:style w:type="character" w:customStyle="1" w:styleId="94">
    <w:name w:val="Char Char1"/>
    <w:qFormat/>
    <w:uiPriority w:val="0"/>
    <w:rPr>
      <w:rFonts w:eastAsia="宋体"/>
      <w:kern w:val="2"/>
      <w:sz w:val="18"/>
      <w:szCs w:val="18"/>
      <w:lang w:val="en-US" w:eastAsia="zh-CN" w:bidi="ar-SA"/>
    </w:rPr>
  </w:style>
  <w:style w:type="character" w:customStyle="1" w:styleId="95">
    <w:name w:val="批注文字 Char"/>
    <w:qFormat/>
    <w:uiPriority w:val="0"/>
    <w:rPr>
      <w:kern w:val="2"/>
      <w:sz w:val="21"/>
      <w:szCs w:val="24"/>
    </w:rPr>
  </w:style>
  <w:style w:type="character" w:customStyle="1" w:styleId="96">
    <w:name w:val="首示例 Char Char"/>
    <w:link w:val="97"/>
    <w:qFormat/>
    <w:uiPriority w:val="0"/>
    <w:rPr>
      <w:rFonts w:ascii="宋体" w:hAnsi="宋体"/>
      <w:sz w:val="18"/>
      <w:szCs w:val="18"/>
    </w:rPr>
  </w:style>
  <w:style w:type="paragraph" w:customStyle="1" w:styleId="97">
    <w:name w:val="首示例"/>
    <w:next w:val="37"/>
    <w:link w:val="96"/>
    <w:uiPriority w:val="0"/>
    <w:pPr>
      <w:tabs>
        <w:tab w:val="left" w:pos="360"/>
      </w:tabs>
    </w:pPr>
    <w:rPr>
      <w:rFonts w:ascii="宋体" w:hAnsi="宋体" w:eastAsiaTheme="minorEastAsia" w:cstheme="minorBidi"/>
      <w:kern w:val="2"/>
      <w:sz w:val="18"/>
      <w:szCs w:val="18"/>
      <w:lang w:val="en-US" w:eastAsia="zh-CN" w:bidi="ar-SA"/>
    </w:rPr>
  </w:style>
  <w:style w:type="character" w:customStyle="1" w:styleId="98">
    <w:name w:val="Char Char4"/>
    <w:qFormat/>
    <w:uiPriority w:val="0"/>
    <w:rPr>
      <w:rFonts w:ascii="Arial" w:hAnsi="Arial" w:eastAsia="黑体"/>
      <w:b/>
      <w:bCs/>
      <w:kern w:val="2"/>
      <w:sz w:val="28"/>
      <w:szCs w:val="28"/>
      <w:lang w:val="en-US" w:eastAsia="zh-CN" w:bidi="ar-SA"/>
    </w:rPr>
  </w:style>
  <w:style w:type="character" w:customStyle="1" w:styleId="99">
    <w:name w:val="个人撰写风格"/>
    <w:qFormat/>
    <w:uiPriority w:val="0"/>
    <w:rPr>
      <w:rFonts w:ascii="Arial" w:hAnsi="Arial" w:eastAsia="宋体" w:cs="Arial"/>
      <w:color w:val="auto"/>
      <w:sz w:val="20"/>
    </w:rPr>
  </w:style>
  <w:style w:type="character" w:customStyle="1" w:styleId="100">
    <w:name w:val="附录公式 Char Char"/>
    <w:basedOn w:val="73"/>
    <w:link w:val="101"/>
    <w:qFormat/>
    <w:uiPriority w:val="0"/>
    <w:rPr>
      <w:rFonts w:ascii="宋体"/>
    </w:rPr>
  </w:style>
  <w:style w:type="paragraph" w:customStyle="1" w:styleId="101">
    <w:name w:val="附录公式"/>
    <w:basedOn w:val="37"/>
    <w:next w:val="37"/>
    <w:link w:val="100"/>
    <w:qFormat/>
    <w:uiPriority w:val="0"/>
  </w:style>
  <w:style w:type="character" w:customStyle="1" w:styleId="102">
    <w:name w:val="一级条标题 Char Char"/>
    <w:link w:val="76"/>
    <w:qFormat/>
    <w:uiPriority w:val="0"/>
    <w:rPr>
      <w:rFonts w:ascii="黑体" w:hAnsi="Times New Roman" w:eastAsia="黑体" w:cs="Times New Roman"/>
      <w:kern w:val="0"/>
      <w:szCs w:val="20"/>
    </w:rPr>
  </w:style>
  <w:style w:type="character" w:customStyle="1" w:styleId="103">
    <w:name w:val="正文文本缩进 2 Char"/>
    <w:link w:val="28"/>
    <w:qFormat/>
    <w:uiPriority w:val="0"/>
    <w:rPr>
      <w:rFonts w:eastAsia="宋体"/>
      <w:szCs w:val="24"/>
    </w:rPr>
  </w:style>
  <w:style w:type="character" w:customStyle="1" w:styleId="104">
    <w:name w:val="二级条标题 Char Char"/>
    <w:basedOn w:val="102"/>
    <w:qFormat/>
    <w:uiPriority w:val="0"/>
    <w:rPr>
      <w:rFonts w:ascii="黑体" w:hAnsi="Times New Roman" w:eastAsia="黑体" w:cs="Times New Roman"/>
      <w:kern w:val="0"/>
      <w:szCs w:val="20"/>
    </w:rPr>
  </w:style>
  <w:style w:type="character" w:customStyle="1" w:styleId="105">
    <w:name w:val="trans"/>
    <w:basedOn w:val="49"/>
    <w:qFormat/>
    <w:uiPriority w:val="0"/>
  </w:style>
  <w:style w:type="character" w:customStyle="1" w:styleId="106">
    <w:name w:val="large1"/>
    <w:qFormat/>
    <w:uiPriority w:val="0"/>
    <w:rPr>
      <w:sz w:val="18"/>
      <w:szCs w:val="18"/>
    </w:rPr>
  </w:style>
  <w:style w:type="character" w:customStyle="1" w:styleId="107">
    <w:name w:val="font51"/>
    <w:qFormat/>
    <w:uiPriority w:val="0"/>
    <w:rPr>
      <w:rFonts w:hint="eastAsia" w:ascii="宋体" w:hAnsi="宋体" w:eastAsia="宋体"/>
      <w:color w:val="000000"/>
      <w:sz w:val="20"/>
      <w:szCs w:val="20"/>
      <w:u w:val="none"/>
    </w:rPr>
  </w:style>
  <w:style w:type="character" w:customStyle="1" w:styleId="108">
    <w:name w:val="Char Char6"/>
    <w:qFormat/>
    <w:uiPriority w:val="0"/>
    <w:rPr>
      <w:rFonts w:ascii="Arial" w:hAnsi="Arial" w:eastAsia="黑体"/>
      <w:b/>
      <w:bCs/>
      <w:kern w:val="2"/>
      <w:sz w:val="32"/>
      <w:szCs w:val="32"/>
      <w:lang w:val="en-US" w:eastAsia="zh-CN" w:bidi="ar-SA"/>
    </w:rPr>
  </w:style>
  <w:style w:type="character" w:customStyle="1" w:styleId="109">
    <w:name w:val="正文文本 (5)_"/>
    <w:link w:val="110"/>
    <w:qFormat/>
    <w:locked/>
    <w:uiPriority w:val="0"/>
    <w:rPr>
      <w:rFonts w:ascii="MingLiU" w:hAnsi="MingLiU" w:eastAsia="MingLiU"/>
      <w:spacing w:val="50"/>
      <w:sz w:val="26"/>
      <w:szCs w:val="26"/>
      <w:shd w:val="clear" w:color="auto" w:fill="FFFFFF"/>
    </w:rPr>
  </w:style>
  <w:style w:type="paragraph" w:customStyle="1" w:styleId="110">
    <w:name w:val="正文文本 (5)"/>
    <w:basedOn w:val="1"/>
    <w:link w:val="109"/>
    <w:uiPriority w:val="0"/>
    <w:pPr>
      <w:shd w:val="clear" w:color="auto" w:fill="FFFFFF"/>
      <w:spacing w:before="480" w:line="240" w:lineRule="atLeast"/>
      <w:jc w:val="center"/>
    </w:pPr>
    <w:rPr>
      <w:rFonts w:ascii="MingLiU" w:hAnsi="MingLiU" w:eastAsia="MingLiU"/>
      <w:spacing w:val="50"/>
      <w:sz w:val="26"/>
      <w:szCs w:val="26"/>
    </w:rPr>
  </w:style>
  <w:style w:type="character" w:customStyle="1" w:styleId="111">
    <w:name w:val="font01"/>
    <w:qFormat/>
    <w:uiPriority w:val="0"/>
    <w:rPr>
      <w:rFonts w:hint="default" w:ascii="Times New Roman" w:hAnsi="Times New Roman" w:cs="Times New Roman"/>
      <w:color w:val="000000"/>
      <w:sz w:val="20"/>
      <w:szCs w:val="20"/>
      <w:u w:val="none"/>
    </w:rPr>
  </w:style>
  <w:style w:type="character" w:customStyle="1" w:styleId="112">
    <w:name w:val="Char Char5"/>
    <w:qFormat/>
    <w:uiPriority w:val="0"/>
    <w:rPr>
      <w:rFonts w:eastAsia="宋体"/>
      <w:b/>
      <w:bCs/>
      <w:kern w:val="2"/>
      <w:sz w:val="32"/>
      <w:szCs w:val="32"/>
      <w:lang w:val="en-US" w:eastAsia="zh-CN" w:bidi="ar-SA"/>
    </w:rPr>
  </w:style>
  <w:style w:type="character" w:customStyle="1" w:styleId="113">
    <w:name w:val="个人答复风格"/>
    <w:qFormat/>
    <w:uiPriority w:val="0"/>
    <w:rPr>
      <w:rFonts w:ascii="Arial" w:hAnsi="Arial" w:eastAsia="宋体" w:cs="Arial"/>
      <w:color w:val="auto"/>
      <w:sz w:val="20"/>
    </w:rPr>
  </w:style>
  <w:style w:type="character" w:customStyle="1" w:styleId="114">
    <w:name w:val="批注主题 Char"/>
    <w:basedOn w:val="95"/>
    <w:link w:val="11"/>
    <w:qFormat/>
    <w:uiPriority w:val="0"/>
    <w:rPr>
      <w:kern w:val="2"/>
      <w:sz w:val="21"/>
      <w:szCs w:val="24"/>
    </w:rPr>
  </w:style>
  <w:style w:type="character" w:customStyle="1" w:styleId="115">
    <w:name w:val="Char Char"/>
    <w:qFormat/>
    <w:uiPriority w:val="0"/>
    <w:rPr>
      <w:rFonts w:eastAsia="宋体"/>
      <w:kern w:val="2"/>
      <w:sz w:val="21"/>
      <w:szCs w:val="24"/>
      <w:lang w:val="en-US" w:eastAsia="zh-CN" w:bidi="ar-SA"/>
    </w:rPr>
  </w:style>
  <w:style w:type="character" w:customStyle="1" w:styleId="116">
    <w:name w:val="发布"/>
    <w:qFormat/>
    <w:uiPriority w:val="0"/>
    <w:rPr>
      <w:rFonts w:ascii="黑体" w:eastAsia="黑体"/>
      <w:spacing w:val="85"/>
      <w:w w:val="100"/>
      <w:position w:val="3"/>
      <w:sz w:val="28"/>
      <w:szCs w:val="28"/>
    </w:rPr>
  </w:style>
  <w:style w:type="character" w:customStyle="1" w:styleId="117">
    <w:name w:val="正文文本缩进 Char"/>
    <w:basedOn w:val="49"/>
    <w:link w:val="19"/>
    <w:qFormat/>
    <w:uiPriority w:val="0"/>
    <w:rPr>
      <w:rFonts w:ascii="Times New Roman" w:hAnsi="Times New Roman" w:eastAsia="宋体" w:cs="Times New Roman"/>
      <w:szCs w:val="24"/>
    </w:rPr>
  </w:style>
  <w:style w:type="character" w:customStyle="1" w:styleId="118">
    <w:name w:val="文档结构图 Char"/>
    <w:basedOn w:val="49"/>
    <w:link w:val="17"/>
    <w:qFormat/>
    <w:uiPriority w:val="0"/>
    <w:rPr>
      <w:rFonts w:ascii="Times New Roman" w:hAnsi="Times New Roman" w:eastAsia="宋体" w:cs="Times New Roman"/>
      <w:szCs w:val="24"/>
      <w:shd w:val="clear" w:color="auto" w:fill="000080"/>
    </w:rPr>
  </w:style>
  <w:style w:type="character" w:customStyle="1" w:styleId="119">
    <w:name w:val="批注文字 Char1"/>
    <w:basedOn w:val="49"/>
    <w:link w:val="12"/>
    <w:semiHidden/>
    <w:qFormat/>
    <w:uiPriority w:val="99"/>
  </w:style>
  <w:style w:type="character" w:customStyle="1" w:styleId="120">
    <w:name w:val="批注主题 Char1"/>
    <w:basedOn w:val="119"/>
    <w:semiHidden/>
    <w:qFormat/>
    <w:uiPriority w:val="99"/>
    <w:rPr>
      <w:b/>
      <w:bCs/>
    </w:rPr>
  </w:style>
  <w:style w:type="character" w:customStyle="1" w:styleId="121">
    <w:name w:val="标题 Char"/>
    <w:basedOn w:val="49"/>
    <w:link w:val="48"/>
    <w:qFormat/>
    <w:uiPriority w:val="0"/>
    <w:rPr>
      <w:rFonts w:ascii="Arial" w:hAnsi="Arial" w:eastAsia="宋体" w:cs="Arial"/>
      <w:b/>
      <w:bCs/>
      <w:sz w:val="32"/>
      <w:szCs w:val="32"/>
    </w:rPr>
  </w:style>
  <w:style w:type="character" w:customStyle="1" w:styleId="122">
    <w:name w:val="纯文本 Char"/>
    <w:basedOn w:val="49"/>
    <w:link w:val="24"/>
    <w:qFormat/>
    <w:uiPriority w:val="0"/>
    <w:rPr>
      <w:rFonts w:ascii="宋体" w:hAnsi="Courier New" w:eastAsia="宋体" w:cs="Century"/>
      <w:szCs w:val="21"/>
    </w:rPr>
  </w:style>
  <w:style w:type="character" w:customStyle="1" w:styleId="123">
    <w:name w:val="HTML 地址 Char"/>
    <w:basedOn w:val="49"/>
    <w:link w:val="20"/>
    <w:qFormat/>
    <w:uiPriority w:val="0"/>
    <w:rPr>
      <w:rFonts w:ascii="Times New Roman" w:hAnsi="Times New Roman" w:eastAsia="宋体" w:cs="Times New Roman"/>
      <w:i/>
      <w:iCs/>
      <w:szCs w:val="24"/>
    </w:rPr>
  </w:style>
  <w:style w:type="character" w:customStyle="1" w:styleId="124">
    <w:name w:val="正文文本缩进 3 Char"/>
    <w:basedOn w:val="49"/>
    <w:link w:val="40"/>
    <w:qFormat/>
    <w:uiPriority w:val="0"/>
    <w:rPr>
      <w:rFonts w:ascii="Times New Roman" w:hAnsi="Times New Roman" w:eastAsia="宋体" w:cs="Times New Roman"/>
      <w:sz w:val="16"/>
      <w:szCs w:val="16"/>
    </w:rPr>
  </w:style>
  <w:style w:type="character" w:customStyle="1" w:styleId="125">
    <w:name w:val="日期 Char"/>
    <w:basedOn w:val="49"/>
    <w:link w:val="27"/>
    <w:qFormat/>
    <w:uiPriority w:val="0"/>
    <w:rPr>
      <w:rFonts w:ascii="Times New Roman" w:hAnsi="Times New Roman" w:eastAsia="宋体" w:cs="Times New Roman"/>
      <w:szCs w:val="24"/>
    </w:rPr>
  </w:style>
  <w:style w:type="character" w:customStyle="1" w:styleId="126">
    <w:name w:val="脚注文本 Char"/>
    <w:basedOn w:val="49"/>
    <w:link w:val="38"/>
    <w:qFormat/>
    <w:uiPriority w:val="0"/>
    <w:rPr>
      <w:rFonts w:ascii="宋体" w:hAnsi="Times New Roman" w:eastAsia="宋体" w:cs="Times New Roman"/>
      <w:sz w:val="18"/>
      <w:szCs w:val="18"/>
    </w:rPr>
  </w:style>
  <w:style w:type="character" w:customStyle="1" w:styleId="127">
    <w:name w:val="正文文本缩进 2 Char1"/>
    <w:basedOn w:val="49"/>
    <w:semiHidden/>
    <w:qFormat/>
    <w:uiPriority w:val="99"/>
  </w:style>
  <w:style w:type="character" w:customStyle="1" w:styleId="128">
    <w:name w:val="尾注文本 Char"/>
    <w:basedOn w:val="49"/>
    <w:link w:val="29"/>
    <w:qFormat/>
    <w:uiPriority w:val="0"/>
    <w:rPr>
      <w:rFonts w:ascii="Times New Roman" w:hAnsi="Times New Roman" w:eastAsia="宋体" w:cs="Times New Roman"/>
      <w:szCs w:val="24"/>
    </w:rPr>
  </w:style>
  <w:style w:type="character" w:customStyle="1" w:styleId="129">
    <w:name w:val="HTML 预设格式 Char"/>
    <w:basedOn w:val="49"/>
    <w:link w:val="45"/>
    <w:qFormat/>
    <w:uiPriority w:val="0"/>
    <w:rPr>
      <w:rFonts w:ascii="Courier New" w:hAnsi="Courier New" w:eastAsia="宋体" w:cs="Courier New"/>
      <w:sz w:val="20"/>
      <w:szCs w:val="20"/>
    </w:rPr>
  </w:style>
  <w:style w:type="paragraph" w:customStyle="1" w:styleId="130">
    <w:name w:val="_Style 3"/>
    <w:basedOn w:val="1"/>
    <w:qFormat/>
    <w:uiPriority w:val="34"/>
    <w:pPr>
      <w:ind w:firstLine="420" w:firstLineChars="200"/>
    </w:pPr>
    <w:rPr>
      <w:rFonts w:ascii="Calibri" w:hAnsi="Calibri" w:eastAsia="宋体" w:cs="Times New Roman"/>
    </w:rPr>
  </w:style>
  <w:style w:type="paragraph" w:customStyle="1" w:styleId="131">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bCs/>
      <w:spacing w:val="20"/>
      <w:w w:val="148"/>
      <w:kern w:val="0"/>
      <w:sz w:val="48"/>
      <w:szCs w:val="20"/>
      <w:lang w:val="en-US" w:eastAsia="zh-CN" w:bidi="ar-SA"/>
    </w:rPr>
  </w:style>
  <w:style w:type="paragraph" w:customStyle="1" w:styleId="132">
    <w:name w:val="default paragraph font Char"/>
    <w:basedOn w:val="1"/>
    <w:uiPriority w:val="0"/>
    <w:pPr>
      <w:spacing w:line="240" w:lineRule="atLeast"/>
      <w:ind w:left="420" w:firstLine="420"/>
    </w:pPr>
    <w:rPr>
      <w:rFonts w:ascii="Times New Roman" w:hAnsi="Times New Roman" w:eastAsia="宋体" w:cs="Times New Roman"/>
      <w:kern w:val="0"/>
      <w:szCs w:val="21"/>
    </w:rPr>
  </w:style>
  <w:style w:type="paragraph" w:customStyle="1" w:styleId="133">
    <w:name w:val="二级无"/>
    <w:basedOn w:val="75"/>
    <w:uiPriority w:val="0"/>
    <w:pPr>
      <w:ind w:left="0" w:firstLine="0"/>
      <w:jc w:val="left"/>
    </w:pPr>
    <w:rPr>
      <w:rFonts w:ascii="宋体" w:eastAsia="宋体"/>
      <w:szCs w:val="21"/>
    </w:rPr>
  </w:style>
  <w:style w:type="paragraph" w:customStyle="1" w:styleId="134">
    <w:name w:val="封面标准名称"/>
    <w:qFormat/>
    <w:uiPriority w:val="0"/>
    <w:pPr>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135">
    <w:name w:val="附录标识"/>
    <w:basedOn w:val="136"/>
    <w:qFormat/>
    <w:uiPriority w:val="0"/>
    <w:pPr>
      <w:tabs>
        <w:tab w:val="left" w:pos="360"/>
        <w:tab w:val="left" w:pos="6405"/>
      </w:tabs>
      <w:spacing w:after="280"/>
    </w:pPr>
  </w:style>
  <w:style w:type="paragraph" w:customStyle="1" w:styleId="136">
    <w:name w:val="前言、引言标题"/>
    <w:next w:val="1"/>
    <w:qFormat/>
    <w:uiPriority w:val="0"/>
    <w:pPr>
      <w:keepNext/>
      <w:pageBreakBefore/>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137">
    <w:name w:val="封面标准英文名称"/>
    <w:basedOn w:val="134"/>
    <w:qFormat/>
    <w:uiPriority w:val="0"/>
    <w:pPr>
      <w:spacing w:before="370" w:line="400" w:lineRule="exact"/>
    </w:pPr>
    <w:rPr>
      <w:rFonts w:ascii="Times New Roman"/>
      <w:sz w:val="28"/>
      <w:szCs w:val="28"/>
    </w:rPr>
  </w:style>
  <w:style w:type="paragraph" w:customStyle="1" w:styleId="138">
    <w:name w:val="自定义标题3"/>
    <w:basedOn w:val="4"/>
    <w:uiPriority w:val="0"/>
    <w:rPr>
      <w:rFonts w:ascii="黑体" w:hAnsi="宋体" w:eastAsia="黑体"/>
      <w:sz w:val="21"/>
      <w:szCs w:val="21"/>
    </w:rPr>
  </w:style>
  <w:style w:type="paragraph" w:customStyle="1" w:styleId="139">
    <w:name w:val="封面标准名称2"/>
    <w:basedOn w:val="134"/>
    <w:qFormat/>
    <w:uiPriority w:val="0"/>
    <w:pPr>
      <w:spacing w:beforeLines="630"/>
    </w:pPr>
  </w:style>
  <w:style w:type="paragraph" w:customStyle="1" w:styleId="140">
    <w:name w:val="四级条标题"/>
    <w:basedOn w:val="141"/>
    <w:next w:val="37"/>
    <w:qFormat/>
    <w:uiPriority w:val="0"/>
    <w:pPr>
      <w:outlineLvl w:val="5"/>
    </w:pPr>
  </w:style>
  <w:style w:type="paragraph" w:customStyle="1" w:styleId="141">
    <w:name w:val="三级条标题"/>
    <w:basedOn w:val="75"/>
    <w:next w:val="37"/>
    <w:uiPriority w:val="0"/>
    <w:pPr>
      <w:spacing w:before="50" w:after="50"/>
      <w:ind w:left="0" w:firstLine="0"/>
      <w:jc w:val="left"/>
      <w:outlineLvl w:val="4"/>
    </w:pPr>
    <w:rPr>
      <w:szCs w:val="21"/>
    </w:rPr>
  </w:style>
  <w:style w:type="paragraph" w:customStyle="1" w:styleId="142">
    <w:name w:val="附录三级条标题"/>
    <w:basedOn w:val="143"/>
    <w:next w:val="37"/>
    <w:uiPriority w:val="0"/>
    <w:pPr>
      <w:tabs>
        <w:tab w:val="left" w:pos="360"/>
      </w:tabs>
      <w:outlineLvl w:val="4"/>
    </w:pPr>
  </w:style>
  <w:style w:type="paragraph" w:customStyle="1" w:styleId="143">
    <w:name w:val="附录二级条标题"/>
    <w:basedOn w:val="1"/>
    <w:next w:val="37"/>
    <w:qFormat/>
    <w:uiPriority w:val="0"/>
    <w:pPr>
      <w:widowControl/>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144">
    <w:name w:val="列项◆（三级）"/>
    <w:basedOn w:val="1"/>
    <w:uiPriority w:val="0"/>
    <w:pPr>
      <w:tabs>
        <w:tab w:val="left" w:pos="1678"/>
      </w:tabs>
      <w:ind w:left="1678" w:hanging="414"/>
    </w:pPr>
    <w:rPr>
      <w:rFonts w:ascii="宋体" w:hAnsi="Times New Roman" w:eastAsia="宋体" w:cs="Times New Roman"/>
      <w:szCs w:val="21"/>
    </w:rPr>
  </w:style>
  <w:style w:type="paragraph" w:customStyle="1" w:styleId="145">
    <w:name w:val="标准书眉_奇数页"/>
    <w:next w:val="1"/>
    <w:qFormat/>
    <w:uiPriority w:val="0"/>
    <w:pPr>
      <w:tabs>
        <w:tab w:val="center" w:pos="4154"/>
        <w:tab w:val="right" w:pos="8306"/>
      </w:tabs>
      <w:spacing w:after="220"/>
      <w:jc w:val="right"/>
    </w:pPr>
    <w:rPr>
      <w:rFonts w:ascii="黑体" w:hAnsi="Times New Roman" w:eastAsia="黑体" w:cs="Times New Roman"/>
      <w:kern w:val="0"/>
      <w:sz w:val="21"/>
      <w:szCs w:val="21"/>
      <w:lang w:val="en-US" w:eastAsia="zh-CN" w:bidi="ar-SA"/>
    </w:rPr>
  </w:style>
  <w:style w:type="paragraph" w:customStyle="1" w:styleId="146">
    <w:name w:val="其他发布部门"/>
    <w:basedOn w:val="147"/>
    <w:uiPriority w:val="0"/>
    <w:pPr>
      <w:spacing w:line="0" w:lineRule="atLeast"/>
    </w:pPr>
    <w:rPr>
      <w:rFonts w:ascii="黑体" w:eastAsia="黑体"/>
      <w:b w:val="0"/>
    </w:rPr>
  </w:style>
  <w:style w:type="paragraph" w:customStyle="1" w:styleId="147">
    <w:name w:val="发布部门"/>
    <w:next w:val="37"/>
    <w:uiPriority w:val="0"/>
    <w:pPr>
      <w:jc w:val="center"/>
    </w:pPr>
    <w:rPr>
      <w:rFonts w:ascii="宋体" w:hAnsi="Times New Roman" w:eastAsia="宋体" w:cs="Times New Roman"/>
      <w:b/>
      <w:spacing w:val="20"/>
      <w:w w:val="135"/>
      <w:kern w:val="0"/>
      <w:sz w:val="28"/>
      <w:szCs w:val="20"/>
      <w:lang w:val="en-US" w:eastAsia="zh-CN" w:bidi="ar-SA"/>
    </w:rPr>
  </w:style>
  <w:style w:type="paragraph" w:customStyle="1" w:styleId="148">
    <w:name w:val="附录五级条标题"/>
    <w:basedOn w:val="149"/>
    <w:next w:val="37"/>
    <w:uiPriority w:val="0"/>
    <w:pPr>
      <w:tabs>
        <w:tab w:val="left" w:pos="360"/>
      </w:tabs>
      <w:outlineLvl w:val="6"/>
    </w:pPr>
  </w:style>
  <w:style w:type="paragraph" w:customStyle="1" w:styleId="149">
    <w:name w:val="附录四级条标题"/>
    <w:basedOn w:val="142"/>
    <w:next w:val="37"/>
    <w:qFormat/>
    <w:uiPriority w:val="0"/>
    <w:pPr>
      <w:outlineLvl w:val="5"/>
    </w:pPr>
  </w:style>
  <w:style w:type="paragraph" w:customStyle="1" w:styleId="150">
    <w:name w:val="附录图标号"/>
    <w:basedOn w:val="1"/>
    <w:uiPriority w:val="0"/>
    <w:pPr>
      <w:keepNext/>
      <w:pageBreakBefore/>
      <w:widowControl/>
      <w:spacing w:line="14" w:lineRule="exact"/>
      <w:ind w:firstLine="363"/>
      <w:jc w:val="center"/>
      <w:outlineLvl w:val="0"/>
    </w:pPr>
    <w:rPr>
      <w:rFonts w:ascii="Times New Roman" w:hAnsi="Times New Roman" w:eastAsia="宋体" w:cs="Times New Roman"/>
      <w:color w:val="FFFFFF"/>
      <w:szCs w:val="24"/>
    </w:rPr>
  </w:style>
  <w:style w:type="paragraph" w:customStyle="1" w:styleId="151">
    <w:name w:val="其他实施日期"/>
    <w:basedOn w:val="152"/>
    <w:uiPriority w:val="0"/>
  </w:style>
  <w:style w:type="paragraph" w:customStyle="1" w:styleId="152">
    <w:name w:val="实施日期"/>
    <w:basedOn w:val="153"/>
    <w:uiPriority w:val="0"/>
    <w:pPr>
      <w:jc w:val="right"/>
    </w:pPr>
  </w:style>
  <w:style w:type="paragraph" w:customStyle="1" w:styleId="153">
    <w:name w:val="发布日期"/>
    <w:uiPriority w:val="0"/>
    <w:rPr>
      <w:rFonts w:ascii="Times New Roman" w:hAnsi="Times New Roman" w:eastAsia="黑体" w:cs="Times New Roman"/>
      <w:kern w:val="0"/>
      <w:sz w:val="28"/>
      <w:szCs w:val="20"/>
      <w:lang w:val="en-US" w:eastAsia="zh-CN" w:bidi="ar-SA"/>
    </w:rPr>
  </w:style>
  <w:style w:type="paragraph" w:customStyle="1" w:styleId="154">
    <w:name w:val="列项说明数字编号"/>
    <w:uiPriority w:val="0"/>
    <w:pPr>
      <w:ind w:left="600" w:leftChars="400" w:hanging="200" w:hangingChars="200"/>
    </w:pPr>
    <w:rPr>
      <w:rFonts w:ascii="宋体" w:hAnsi="Times New Roman" w:eastAsia="宋体" w:cs="Times New Roman"/>
      <w:kern w:val="0"/>
      <w:sz w:val="21"/>
      <w:szCs w:val="20"/>
      <w:lang w:val="en-US" w:eastAsia="zh-CN" w:bidi="ar-SA"/>
    </w:rPr>
  </w:style>
  <w:style w:type="paragraph" w:customStyle="1" w:styleId="155">
    <w:name w:val="附录表标题"/>
    <w:basedOn w:val="1"/>
    <w:next w:val="37"/>
    <w:uiPriority w:val="0"/>
    <w:pPr>
      <w:tabs>
        <w:tab w:val="left" w:pos="180"/>
      </w:tabs>
      <w:spacing w:beforeLines="50" w:afterLines="50"/>
      <w:jc w:val="center"/>
    </w:pPr>
    <w:rPr>
      <w:rFonts w:ascii="黑体" w:hAnsi="Times New Roman" w:eastAsia="黑体" w:cs="Times New Roman"/>
      <w:szCs w:val="21"/>
    </w:rPr>
  </w:style>
  <w:style w:type="paragraph" w:customStyle="1" w:styleId="156">
    <w:name w:val="正文表标题"/>
    <w:next w:val="37"/>
    <w:qFormat/>
    <w:uiPriority w:val="0"/>
    <w:pPr>
      <w:spacing w:beforeLines="50" w:afterLines="50"/>
      <w:ind w:left="4830"/>
      <w:jc w:val="center"/>
    </w:pPr>
    <w:rPr>
      <w:rFonts w:ascii="黑体" w:hAnsi="Times New Roman" w:eastAsia="黑体" w:cs="Times New Roman"/>
      <w:kern w:val="0"/>
      <w:sz w:val="21"/>
      <w:szCs w:val="20"/>
      <w:lang w:val="en-US" w:eastAsia="zh-CN" w:bidi="ar-SA"/>
    </w:rPr>
  </w:style>
  <w:style w:type="paragraph" w:customStyle="1" w:styleId="157">
    <w:name w:val="注：（正文）"/>
    <w:basedOn w:val="158"/>
    <w:next w:val="37"/>
    <w:uiPriority w:val="0"/>
  </w:style>
  <w:style w:type="paragraph" w:customStyle="1" w:styleId="158">
    <w:name w:val="注："/>
    <w:next w:val="37"/>
    <w:uiPriority w:val="0"/>
    <w:pPr>
      <w:widowControl w:val="0"/>
      <w:autoSpaceDE w:val="0"/>
      <w:autoSpaceDN w:val="0"/>
      <w:ind w:left="726" w:hanging="363"/>
      <w:jc w:val="both"/>
    </w:pPr>
    <w:rPr>
      <w:rFonts w:ascii="宋体" w:hAnsi="Times New Roman" w:eastAsia="宋体" w:cs="Times New Roman"/>
      <w:kern w:val="0"/>
      <w:sz w:val="18"/>
      <w:szCs w:val="18"/>
      <w:lang w:val="en-US" w:eastAsia="zh-CN" w:bidi="ar-SA"/>
    </w:rPr>
  </w:style>
  <w:style w:type="paragraph" w:customStyle="1" w:styleId="159">
    <w:name w:val="标准书眉一"/>
    <w:uiPriority w:val="0"/>
    <w:pPr>
      <w:jc w:val="both"/>
    </w:pPr>
    <w:rPr>
      <w:rFonts w:ascii="Times New Roman" w:hAnsi="Times New Roman" w:eastAsia="宋体" w:cs="Times New Roman"/>
      <w:kern w:val="0"/>
      <w:sz w:val="20"/>
      <w:szCs w:val="20"/>
      <w:lang w:val="en-US" w:eastAsia="zh-CN" w:bidi="ar-SA"/>
    </w:rPr>
  </w:style>
  <w:style w:type="paragraph" w:customStyle="1" w:styleId="160">
    <w:name w:val="样式3"/>
    <w:basedOn w:val="4"/>
    <w:next w:val="1"/>
    <w:uiPriority w:val="0"/>
    <w:pPr>
      <w:keepNext w:val="0"/>
      <w:keepLines w:val="0"/>
      <w:autoSpaceDE w:val="0"/>
      <w:autoSpaceDN w:val="0"/>
      <w:adjustRightInd w:val="0"/>
      <w:spacing w:before="0" w:after="0" w:line="360" w:lineRule="auto"/>
      <w:ind w:firstLine="596" w:firstLineChars="198"/>
      <w:jc w:val="left"/>
    </w:pPr>
    <w:rPr>
      <w:rFonts w:ascii="Calibri" w:hAnsi="Calibri"/>
      <w:bCs w:val="0"/>
      <w:color w:val="000000"/>
      <w:sz w:val="30"/>
      <w:szCs w:val="30"/>
    </w:rPr>
  </w:style>
  <w:style w:type="paragraph" w:customStyle="1" w:styleId="161">
    <w:name w:val="其他发布日期"/>
    <w:basedOn w:val="153"/>
    <w:qFormat/>
    <w:uiPriority w:val="0"/>
  </w:style>
  <w:style w:type="paragraph" w:customStyle="1" w:styleId="162">
    <w:name w:val="目次、索引正文"/>
    <w:qFormat/>
    <w:uiPriority w:val="0"/>
    <w:pPr>
      <w:spacing w:line="320" w:lineRule="exact"/>
      <w:jc w:val="both"/>
    </w:pPr>
    <w:rPr>
      <w:rFonts w:ascii="宋体" w:hAnsi="Times New Roman" w:eastAsia="宋体" w:cs="Times New Roman"/>
      <w:kern w:val="0"/>
      <w:sz w:val="21"/>
      <w:szCs w:val="20"/>
      <w:lang w:val="en-US" w:eastAsia="zh-CN" w:bidi="ar-SA"/>
    </w:rPr>
  </w:style>
  <w:style w:type="paragraph" w:customStyle="1" w:styleId="163">
    <w:name w:val="封面标准号2"/>
    <w:qFormat/>
    <w:uiPriority w:val="0"/>
    <w:pPr>
      <w:spacing w:before="357" w:line="280" w:lineRule="exact"/>
      <w:jc w:val="right"/>
    </w:pPr>
    <w:rPr>
      <w:rFonts w:ascii="黑体" w:hAnsi="Times New Roman" w:eastAsia="黑体" w:cs="Times New Roman"/>
      <w:kern w:val="0"/>
      <w:sz w:val="28"/>
      <w:szCs w:val="28"/>
      <w:lang w:val="en-US" w:eastAsia="zh-CN" w:bidi="ar-SA"/>
    </w:rPr>
  </w:style>
  <w:style w:type="paragraph" w:customStyle="1" w:styleId="164">
    <w:name w:val="图标脚注说明"/>
    <w:basedOn w:val="37"/>
    <w:uiPriority w:val="0"/>
    <w:pPr>
      <w:ind w:left="840" w:hanging="420" w:firstLineChars="0"/>
    </w:pPr>
    <w:rPr>
      <w:rFonts w:hAnsi="Times New Roman" w:eastAsia="宋体" w:cs="Times New Roman"/>
      <w:kern w:val="0"/>
      <w:sz w:val="18"/>
      <w:szCs w:val="18"/>
    </w:rPr>
  </w:style>
  <w:style w:type="paragraph" w:customStyle="1" w:styleId="165">
    <w:name w:val="附录图标题"/>
    <w:basedOn w:val="1"/>
    <w:next w:val="37"/>
    <w:uiPriority w:val="0"/>
    <w:pPr>
      <w:tabs>
        <w:tab w:val="left" w:pos="363"/>
      </w:tabs>
      <w:spacing w:beforeLines="50" w:afterLines="50"/>
      <w:jc w:val="center"/>
    </w:pPr>
    <w:rPr>
      <w:rFonts w:ascii="黑体" w:hAnsi="Times New Roman" w:eastAsia="黑体" w:cs="Times New Roman"/>
      <w:szCs w:val="21"/>
    </w:rPr>
  </w:style>
  <w:style w:type="paragraph" w:customStyle="1" w:styleId="166">
    <w:name w:val="封面标准英文名称2"/>
    <w:basedOn w:val="137"/>
    <w:uiPriority w:val="0"/>
  </w:style>
  <w:style w:type="paragraph" w:customStyle="1" w:styleId="167">
    <w:name w:val="TOC Heading"/>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68">
    <w:name w:val="示例"/>
    <w:next w:val="169"/>
    <w:uiPriority w:val="0"/>
    <w:pPr>
      <w:widowControl w:val="0"/>
      <w:ind w:firstLine="363"/>
      <w:jc w:val="both"/>
    </w:pPr>
    <w:rPr>
      <w:rFonts w:ascii="宋体" w:hAnsi="Times New Roman" w:eastAsia="宋体" w:cs="Times New Roman"/>
      <w:kern w:val="0"/>
      <w:sz w:val="18"/>
      <w:szCs w:val="18"/>
      <w:lang w:val="en-US" w:eastAsia="zh-CN" w:bidi="ar-SA"/>
    </w:rPr>
  </w:style>
  <w:style w:type="paragraph" w:customStyle="1" w:styleId="169">
    <w:name w:val="示例内容"/>
    <w:qFormat/>
    <w:uiPriority w:val="0"/>
    <w:pPr>
      <w:ind w:firstLine="200" w:firstLineChars="200"/>
    </w:pPr>
    <w:rPr>
      <w:rFonts w:ascii="宋体" w:hAnsi="Times New Roman" w:eastAsia="宋体" w:cs="Times New Roman"/>
      <w:kern w:val="0"/>
      <w:sz w:val="18"/>
      <w:szCs w:val="18"/>
      <w:lang w:val="en-US" w:eastAsia="zh-CN" w:bidi="ar-SA"/>
    </w:rPr>
  </w:style>
  <w:style w:type="paragraph" w:customStyle="1" w:styleId="170">
    <w:name w:val="Char"/>
    <w:basedOn w:val="1"/>
    <w:uiPriority w:val="0"/>
    <w:rPr>
      <w:rFonts w:ascii="Tahoma" w:hAnsi="Tahoma" w:eastAsia="宋体" w:cs="Times New Roman"/>
      <w:sz w:val="24"/>
      <w:szCs w:val="20"/>
    </w:rPr>
  </w:style>
  <w:style w:type="paragraph" w:customStyle="1" w:styleId="171">
    <w:name w:val="一级无"/>
    <w:basedOn w:val="76"/>
    <w:qFormat/>
    <w:uiPriority w:val="0"/>
    <w:pPr>
      <w:ind w:left="0" w:firstLine="0"/>
      <w:jc w:val="left"/>
    </w:pPr>
    <w:rPr>
      <w:rFonts w:ascii="宋体" w:eastAsia="宋体"/>
      <w:szCs w:val="21"/>
    </w:rPr>
  </w:style>
  <w:style w:type="paragraph" w:customStyle="1" w:styleId="172">
    <w:name w:val="封面标准文稿类别"/>
    <w:basedOn w:val="173"/>
    <w:qFormat/>
    <w:uiPriority w:val="0"/>
    <w:pPr>
      <w:spacing w:after="160" w:line="240" w:lineRule="auto"/>
    </w:pPr>
    <w:rPr>
      <w:sz w:val="24"/>
    </w:rPr>
  </w:style>
  <w:style w:type="paragraph" w:customStyle="1" w:styleId="173">
    <w:name w:val="封面一致性程度标识"/>
    <w:basedOn w:val="137"/>
    <w:qFormat/>
    <w:uiPriority w:val="0"/>
    <w:pPr>
      <w:spacing w:before="440"/>
    </w:pPr>
    <w:rPr>
      <w:rFonts w:ascii="宋体" w:eastAsia="宋体"/>
    </w:rPr>
  </w:style>
  <w:style w:type="paragraph" w:customStyle="1" w:styleId="174">
    <w:name w:val="正文图标题"/>
    <w:next w:val="37"/>
    <w:uiPriority w:val="0"/>
    <w:pPr>
      <w:tabs>
        <w:tab w:val="left" w:pos="360"/>
      </w:tabs>
      <w:spacing w:beforeLines="50" w:afterLines="50"/>
      <w:jc w:val="center"/>
    </w:pPr>
    <w:rPr>
      <w:rFonts w:ascii="黑体" w:hAnsi="Times New Roman" w:eastAsia="黑体" w:cs="Times New Roman"/>
      <w:kern w:val="0"/>
      <w:sz w:val="21"/>
      <w:szCs w:val="20"/>
      <w:lang w:val="en-US" w:eastAsia="zh-CN" w:bidi="ar-SA"/>
    </w:rPr>
  </w:style>
  <w:style w:type="paragraph" w:customStyle="1" w:styleId="175">
    <w:name w:val="附录章标题"/>
    <w:next w:val="37"/>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176">
    <w:name w:val="五级条标题"/>
    <w:basedOn w:val="140"/>
    <w:next w:val="37"/>
    <w:qFormat/>
    <w:uiPriority w:val="0"/>
    <w:pPr>
      <w:outlineLvl w:val="6"/>
    </w:pPr>
  </w:style>
  <w:style w:type="paragraph" w:customStyle="1" w:styleId="177">
    <w:name w:val="编号列项（三级）"/>
    <w:uiPriority w:val="0"/>
    <w:pPr>
      <w:tabs>
        <w:tab w:val="left" w:pos="0"/>
      </w:tabs>
      <w:ind w:left="1679" w:hanging="420"/>
    </w:pPr>
    <w:rPr>
      <w:rFonts w:ascii="宋体" w:hAnsi="Times New Roman" w:eastAsia="宋体" w:cs="Times New Roman"/>
      <w:kern w:val="0"/>
      <w:sz w:val="21"/>
      <w:szCs w:val="20"/>
      <w:lang w:val="en-US" w:eastAsia="zh-CN" w:bidi="ar-SA"/>
    </w:rPr>
  </w:style>
  <w:style w:type="paragraph" w:customStyle="1" w:styleId="178">
    <w:name w:val="注×：（正文）"/>
    <w:qFormat/>
    <w:uiPriority w:val="0"/>
    <w:pPr>
      <w:ind w:left="811" w:hanging="448"/>
      <w:jc w:val="both"/>
    </w:pPr>
    <w:rPr>
      <w:rFonts w:ascii="宋体" w:hAnsi="Times New Roman" w:eastAsia="宋体" w:cs="Times New Roman"/>
      <w:kern w:val="0"/>
      <w:sz w:val="18"/>
      <w:szCs w:val="18"/>
      <w:lang w:val="en-US" w:eastAsia="zh-CN" w:bidi="ar-SA"/>
    </w:rPr>
  </w:style>
  <w:style w:type="paragraph" w:customStyle="1" w:styleId="179">
    <w:name w:val="字母编号列项（一级）"/>
    <w:qFormat/>
    <w:uiPriority w:val="0"/>
    <w:pPr>
      <w:tabs>
        <w:tab w:val="left" w:pos="840"/>
      </w:tabs>
      <w:ind w:left="839" w:hanging="419"/>
      <w:jc w:val="both"/>
    </w:pPr>
    <w:rPr>
      <w:rFonts w:ascii="宋体" w:hAnsi="Times New Roman" w:eastAsia="宋体" w:cs="Times New Roman"/>
      <w:kern w:val="0"/>
      <w:sz w:val="21"/>
      <w:szCs w:val="20"/>
      <w:lang w:val="en-US" w:eastAsia="zh-CN" w:bidi="ar-SA"/>
    </w:rPr>
  </w:style>
  <w:style w:type="paragraph" w:customStyle="1" w:styleId="180">
    <w:name w:val="文献分类号"/>
    <w:qFormat/>
    <w:uiPriority w:val="0"/>
    <w:pPr>
      <w:widowControl w:val="0"/>
      <w:textAlignment w:val="center"/>
    </w:pPr>
    <w:rPr>
      <w:rFonts w:ascii="黑体" w:hAnsi="Times New Roman" w:eastAsia="黑体" w:cs="Times New Roman"/>
      <w:kern w:val="0"/>
      <w:sz w:val="21"/>
      <w:szCs w:val="21"/>
      <w:lang w:val="en-US" w:eastAsia="zh-CN" w:bidi="ar-SA"/>
    </w:rPr>
  </w:style>
  <w:style w:type="paragraph" w:customStyle="1" w:styleId="181">
    <w:name w:val="标准书眉_偶数页"/>
    <w:basedOn w:val="145"/>
    <w:next w:val="1"/>
    <w:uiPriority w:val="0"/>
    <w:pPr>
      <w:jc w:val="left"/>
    </w:pPr>
  </w:style>
  <w:style w:type="paragraph" w:customStyle="1" w:styleId="182">
    <w:name w:val="封面标准文稿类别2"/>
    <w:basedOn w:val="172"/>
    <w:qFormat/>
    <w:uiPriority w:val="0"/>
  </w:style>
  <w:style w:type="paragraph" w:customStyle="1" w:styleId="183">
    <w:name w:val="目次、标准名称标题"/>
    <w:basedOn w:val="1"/>
    <w:next w:val="37"/>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184">
    <w:name w:val="自定义标题2"/>
    <w:basedOn w:val="3"/>
    <w:next w:val="3"/>
    <w:qFormat/>
    <w:uiPriority w:val="0"/>
    <w:rPr>
      <w:rFonts w:ascii="黑体" w:hAnsi="宋体"/>
      <w:sz w:val="21"/>
      <w:szCs w:val="21"/>
    </w:rPr>
  </w:style>
  <w:style w:type="paragraph" w:customStyle="1" w:styleId="185">
    <w:name w:val="标准一级标题"/>
    <w:basedOn w:val="2"/>
    <w:qFormat/>
    <w:uiPriority w:val="0"/>
    <w:pPr>
      <w:spacing w:line="480" w:lineRule="auto"/>
      <w:ind w:left="210" w:leftChars="100" w:right="210" w:rightChars="100"/>
      <w:jc w:val="center"/>
    </w:pPr>
    <w:rPr>
      <w:rFonts w:ascii="黑体" w:eastAsia="黑体"/>
      <w:sz w:val="28"/>
    </w:rPr>
  </w:style>
  <w:style w:type="paragraph" w:customStyle="1" w:styleId="186">
    <w:name w:val="Char1"/>
    <w:basedOn w:val="1"/>
    <w:uiPriority w:val="0"/>
    <w:pPr>
      <w:tabs>
        <w:tab w:val="left" w:pos="432"/>
      </w:tabs>
      <w:ind w:left="432" w:hanging="432"/>
    </w:pPr>
    <w:rPr>
      <w:rFonts w:ascii="Tahoma" w:hAnsi="Tahoma" w:eastAsia="宋体" w:cs="Times New Roman"/>
      <w:sz w:val="24"/>
      <w:szCs w:val="20"/>
    </w:rPr>
  </w:style>
  <w:style w:type="paragraph" w:customStyle="1" w:styleId="187">
    <w:name w:val="封面正文"/>
    <w:qFormat/>
    <w:uiPriority w:val="0"/>
    <w:pPr>
      <w:jc w:val="both"/>
    </w:pPr>
    <w:rPr>
      <w:rFonts w:ascii="Times New Roman" w:hAnsi="Times New Roman" w:eastAsia="宋体" w:cs="Times New Roman"/>
      <w:kern w:val="0"/>
      <w:sz w:val="20"/>
      <w:szCs w:val="20"/>
      <w:lang w:val="en-US" w:eastAsia="zh-CN" w:bidi="ar-SA"/>
    </w:rPr>
  </w:style>
  <w:style w:type="paragraph" w:customStyle="1" w:styleId="188">
    <w:name w:val="封面一致性程度标识2"/>
    <w:basedOn w:val="173"/>
    <w:qFormat/>
    <w:uiPriority w:val="0"/>
  </w:style>
  <w:style w:type="paragraph" w:customStyle="1" w:styleId="189">
    <w:name w:val="附录表标号"/>
    <w:basedOn w:val="1"/>
    <w:next w:val="37"/>
    <w:uiPriority w:val="0"/>
    <w:pPr>
      <w:spacing w:line="14" w:lineRule="exact"/>
      <w:ind w:left="811" w:hanging="448"/>
      <w:jc w:val="center"/>
      <w:outlineLvl w:val="0"/>
    </w:pPr>
    <w:rPr>
      <w:rFonts w:ascii="Times New Roman" w:hAnsi="Times New Roman" w:eastAsia="宋体" w:cs="Times New Roman"/>
      <w:color w:val="FFFFFF"/>
      <w:szCs w:val="24"/>
    </w:rPr>
  </w:style>
  <w:style w:type="paragraph" w:customStyle="1" w:styleId="190">
    <w:name w:val="参考文献"/>
    <w:basedOn w:val="1"/>
    <w:next w:val="37"/>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191">
    <w:name w:val="章标题"/>
    <w:next w:val="37"/>
    <w:uiPriority w:val="0"/>
    <w:pPr>
      <w:spacing w:beforeLines="100" w:afterLines="100"/>
      <w:jc w:val="both"/>
      <w:outlineLvl w:val="1"/>
    </w:pPr>
    <w:rPr>
      <w:rFonts w:ascii="黑体" w:hAnsi="Times New Roman" w:eastAsia="黑体" w:cs="Times New Roman"/>
      <w:kern w:val="0"/>
      <w:sz w:val="21"/>
      <w:szCs w:val="20"/>
      <w:lang w:val="en-US" w:eastAsia="zh-CN" w:bidi="ar-SA"/>
    </w:rPr>
  </w:style>
  <w:style w:type="paragraph" w:customStyle="1" w:styleId="192">
    <w:name w:val="封面标准文稿编辑信息"/>
    <w:basedOn w:val="172"/>
    <w:uiPriority w:val="0"/>
    <w:pPr>
      <w:spacing w:before="180" w:line="180" w:lineRule="exact"/>
    </w:pPr>
    <w:rPr>
      <w:sz w:val="21"/>
    </w:rPr>
  </w:style>
  <w:style w:type="paragraph" w:customStyle="1" w:styleId="193">
    <w:name w:val="终结线"/>
    <w:basedOn w:val="1"/>
    <w:qFormat/>
    <w:uiPriority w:val="0"/>
    <w:rPr>
      <w:rFonts w:ascii="Times New Roman" w:hAnsi="Times New Roman" w:eastAsia="宋体" w:cs="Times New Roman"/>
      <w:szCs w:val="24"/>
    </w:rPr>
  </w:style>
  <w:style w:type="paragraph" w:customStyle="1" w:styleId="194">
    <w:name w:val="四级无"/>
    <w:basedOn w:val="140"/>
    <w:uiPriority w:val="0"/>
    <w:pPr>
      <w:spacing w:before="0" w:after="0"/>
    </w:pPr>
    <w:rPr>
      <w:rFonts w:ascii="宋体" w:eastAsia="宋体"/>
    </w:rPr>
  </w:style>
  <w:style w:type="paragraph" w:customStyle="1" w:styleId="195">
    <w:name w:val="封面标准代替信息"/>
    <w:uiPriority w:val="0"/>
    <w:pPr>
      <w:spacing w:before="57" w:line="280" w:lineRule="exact"/>
      <w:jc w:val="right"/>
    </w:pPr>
    <w:rPr>
      <w:rFonts w:ascii="宋体" w:hAnsi="Times New Roman" w:eastAsia="宋体" w:cs="Times New Roman"/>
      <w:kern w:val="0"/>
      <w:sz w:val="21"/>
      <w:szCs w:val="21"/>
      <w:lang w:val="en-US" w:eastAsia="zh-CN" w:bidi="ar-SA"/>
    </w:rPr>
  </w:style>
  <w:style w:type="paragraph" w:customStyle="1" w:styleId="196">
    <w:name w:val="彩色列表 - 强调文字颜色 11"/>
    <w:basedOn w:val="1"/>
    <w:uiPriority w:val="0"/>
    <w:pPr>
      <w:ind w:firstLine="420" w:firstLineChars="200"/>
    </w:pPr>
    <w:rPr>
      <w:rFonts w:ascii="Times New Roman" w:hAnsi="Times New Roman" w:eastAsia="宋体" w:cs="Times New Roman"/>
      <w:szCs w:val="24"/>
    </w:rPr>
  </w:style>
  <w:style w:type="paragraph" w:customStyle="1" w:styleId="197">
    <w:name w:val="图的脚注"/>
    <w:next w:val="37"/>
    <w:qFormat/>
    <w:uiPriority w:val="0"/>
    <w:pPr>
      <w:widowControl w:val="0"/>
      <w:ind w:left="840" w:leftChars="200" w:hanging="420" w:hangingChars="200"/>
      <w:jc w:val="both"/>
    </w:pPr>
    <w:rPr>
      <w:rFonts w:ascii="宋体" w:hAnsi="Times New Roman" w:eastAsia="宋体" w:cs="Times New Roman"/>
      <w:kern w:val="0"/>
      <w:sz w:val="18"/>
      <w:szCs w:val="20"/>
      <w:lang w:val="en-US" w:eastAsia="zh-CN" w:bidi="ar-SA"/>
    </w:rPr>
  </w:style>
  <w:style w:type="paragraph" w:customStyle="1" w:styleId="198">
    <w:name w:val="三级无"/>
    <w:basedOn w:val="141"/>
    <w:uiPriority w:val="0"/>
    <w:pPr>
      <w:spacing w:before="0" w:after="0"/>
    </w:pPr>
    <w:rPr>
      <w:rFonts w:ascii="宋体" w:eastAsia="宋体"/>
    </w:rPr>
  </w:style>
  <w:style w:type="paragraph" w:customStyle="1" w:styleId="199">
    <w:name w:val="列项——（一级）"/>
    <w:qFormat/>
    <w:uiPriority w:val="0"/>
    <w:pPr>
      <w:widowControl w:val="0"/>
      <w:ind w:left="833" w:hanging="408"/>
      <w:jc w:val="both"/>
    </w:pPr>
    <w:rPr>
      <w:rFonts w:ascii="宋体" w:hAnsi="Times New Roman" w:eastAsia="宋体" w:cs="Times New Roman"/>
      <w:kern w:val="0"/>
      <w:sz w:val="21"/>
      <w:szCs w:val="20"/>
      <w:lang w:val="en-US" w:eastAsia="zh-CN" w:bidi="ar-SA"/>
    </w:rPr>
  </w:style>
  <w:style w:type="paragraph" w:customStyle="1" w:styleId="200">
    <w:name w:val="附录字母编号列项（一级）"/>
    <w:qFormat/>
    <w:uiPriority w:val="0"/>
    <w:pPr>
      <w:tabs>
        <w:tab w:val="left" w:pos="839"/>
      </w:tabs>
      <w:ind w:left="839" w:hanging="419"/>
    </w:pPr>
    <w:rPr>
      <w:rFonts w:ascii="宋体" w:hAnsi="Times New Roman" w:eastAsia="宋体" w:cs="Times New Roman"/>
      <w:kern w:val="0"/>
      <w:sz w:val="21"/>
      <w:szCs w:val="20"/>
      <w:lang w:val="en-US" w:eastAsia="zh-CN" w:bidi="ar-SA"/>
    </w:rPr>
  </w:style>
  <w:style w:type="paragraph" w:customStyle="1" w:styleId="201">
    <w:name w:val="附录数字编号列项（二级）"/>
    <w:uiPriority w:val="0"/>
    <w:pPr>
      <w:tabs>
        <w:tab w:val="left" w:pos="840"/>
      </w:tabs>
      <w:ind w:left="839" w:hanging="419"/>
    </w:pPr>
    <w:rPr>
      <w:rFonts w:ascii="宋体" w:hAnsi="Times New Roman" w:eastAsia="宋体" w:cs="Times New Roman"/>
      <w:kern w:val="0"/>
      <w:sz w:val="21"/>
      <w:szCs w:val="20"/>
      <w:lang w:val="en-US" w:eastAsia="zh-CN" w:bidi="ar-SA"/>
    </w:rPr>
  </w:style>
  <w:style w:type="paragraph" w:customStyle="1" w:styleId="20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203">
    <w:name w:val="数字编号列项（二级）"/>
    <w:qFormat/>
    <w:uiPriority w:val="0"/>
    <w:pPr>
      <w:tabs>
        <w:tab w:val="left" w:pos="1260"/>
      </w:tabs>
      <w:ind w:left="1259" w:hanging="419"/>
      <w:jc w:val="both"/>
    </w:pPr>
    <w:rPr>
      <w:rFonts w:ascii="宋体" w:hAnsi="Times New Roman" w:eastAsia="宋体" w:cs="Times New Roman"/>
      <w:kern w:val="0"/>
      <w:sz w:val="21"/>
      <w:szCs w:val="20"/>
      <w:lang w:val="en-US" w:eastAsia="zh-CN" w:bidi="ar-SA"/>
    </w:rPr>
  </w:style>
  <w:style w:type="paragraph" w:customStyle="1" w:styleId="204">
    <w:name w:val="列项说明"/>
    <w:basedOn w:val="1"/>
    <w:qFormat/>
    <w:uiPriority w:val="0"/>
    <w:pPr>
      <w:adjustRightInd w:val="0"/>
      <w:spacing w:line="320" w:lineRule="exact"/>
      <w:ind w:left="400" w:leftChars="200" w:hanging="200" w:hangingChars="200"/>
      <w:jc w:val="left"/>
      <w:textAlignment w:val="baseline"/>
    </w:pPr>
    <w:rPr>
      <w:rFonts w:ascii="宋体" w:hAnsi="Times New Roman" w:eastAsia="宋体" w:cs="Times New Roman"/>
      <w:kern w:val="0"/>
      <w:szCs w:val="20"/>
    </w:rPr>
  </w:style>
  <w:style w:type="paragraph" w:customStyle="1" w:styleId="205">
    <w:name w:val="其他标准标志"/>
    <w:basedOn w:val="206"/>
    <w:uiPriority w:val="0"/>
    <w:rPr>
      <w:w w:val="130"/>
    </w:rPr>
  </w:style>
  <w:style w:type="paragraph" w:customStyle="1" w:styleId="206">
    <w:name w:val="标准标志"/>
    <w:next w:val="1"/>
    <w:qFormat/>
    <w:uiPriority w:val="0"/>
    <w:pPr>
      <w:shd w:val="solid" w:color="FFFFFF" w:fill="FFFFFF"/>
      <w:spacing w:line="0" w:lineRule="atLeast"/>
      <w:jc w:val="right"/>
    </w:pPr>
    <w:rPr>
      <w:rFonts w:ascii="Times New Roman" w:hAnsi="Times New Roman" w:eastAsia="宋体" w:cs="Times New Roman"/>
      <w:b/>
      <w:w w:val="170"/>
      <w:kern w:val="0"/>
      <w:sz w:val="96"/>
      <w:szCs w:val="96"/>
      <w:lang w:val="en-US" w:eastAsia="zh-CN" w:bidi="ar-SA"/>
    </w:rPr>
  </w:style>
  <w:style w:type="paragraph" w:customStyle="1" w:styleId="207">
    <w:name w:val="附录五级无"/>
    <w:basedOn w:val="148"/>
    <w:qFormat/>
    <w:uiPriority w:val="0"/>
    <w:pPr>
      <w:spacing w:beforeLines="0" w:afterLines="0"/>
    </w:pPr>
    <w:rPr>
      <w:rFonts w:ascii="宋体" w:eastAsia="宋体"/>
      <w:szCs w:val="21"/>
    </w:rPr>
  </w:style>
  <w:style w:type="paragraph" w:customStyle="1" w:styleId="208">
    <w:name w:val="标准四级标题"/>
    <w:basedOn w:val="5"/>
    <w:qFormat/>
    <w:uiPriority w:val="0"/>
    <w:pPr>
      <w:spacing w:line="360" w:lineRule="auto"/>
      <w:ind w:right="210" w:rightChars="100"/>
      <w:jc w:val="left"/>
    </w:pPr>
    <w:rPr>
      <w:rFonts w:ascii="Cambria" w:hAnsi="Cambria" w:eastAsia="宋体"/>
      <w:b w:val="0"/>
      <w:sz w:val="21"/>
      <w:szCs w:val="21"/>
    </w:rPr>
  </w:style>
  <w:style w:type="paragraph" w:customStyle="1" w:styleId="209">
    <w:name w:val="条文脚注"/>
    <w:basedOn w:val="38"/>
    <w:qFormat/>
    <w:uiPriority w:val="0"/>
    <w:pPr>
      <w:ind w:left="0" w:firstLine="0"/>
      <w:jc w:val="both"/>
    </w:pPr>
  </w:style>
  <w:style w:type="paragraph" w:customStyle="1" w:styleId="210">
    <w:name w:val="列项●（二级）"/>
    <w:qFormat/>
    <w:uiPriority w:val="0"/>
    <w:pPr>
      <w:tabs>
        <w:tab w:val="left" w:pos="840"/>
      </w:tabs>
      <w:ind w:left="1264" w:hanging="413"/>
      <w:jc w:val="both"/>
    </w:pPr>
    <w:rPr>
      <w:rFonts w:ascii="宋体" w:hAnsi="Times New Roman" w:eastAsia="宋体" w:cs="Times New Roman"/>
      <w:kern w:val="0"/>
      <w:sz w:val="21"/>
      <w:szCs w:val="20"/>
      <w:lang w:val="en-US" w:eastAsia="zh-CN" w:bidi="ar-SA"/>
    </w:rPr>
  </w:style>
  <w:style w:type="paragraph" w:customStyle="1" w:styleId="211">
    <w:name w:val="附录三级无"/>
    <w:basedOn w:val="142"/>
    <w:qFormat/>
    <w:uiPriority w:val="0"/>
    <w:pPr>
      <w:tabs>
        <w:tab w:val="clear" w:pos="360"/>
      </w:tabs>
      <w:spacing w:beforeLines="0" w:afterLines="0"/>
    </w:pPr>
    <w:rPr>
      <w:rFonts w:ascii="宋体" w:eastAsia="宋体"/>
      <w:szCs w:val="21"/>
    </w:rPr>
  </w:style>
  <w:style w:type="paragraph" w:customStyle="1" w:styleId="212">
    <w:name w:val="附录四级无"/>
    <w:basedOn w:val="149"/>
    <w:uiPriority w:val="0"/>
    <w:pPr>
      <w:spacing w:beforeLines="0" w:afterLines="0"/>
    </w:pPr>
    <w:rPr>
      <w:rFonts w:ascii="宋体" w:eastAsia="宋体"/>
      <w:szCs w:val="21"/>
    </w:rPr>
  </w:style>
  <w:style w:type="paragraph" w:customStyle="1" w:styleId="213">
    <w:name w:val="标准书脚_奇数页"/>
    <w:qFormat/>
    <w:uiPriority w:val="0"/>
    <w:pPr>
      <w:spacing w:before="120"/>
      <w:ind w:right="198"/>
      <w:jc w:val="right"/>
    </w:pPr>
    <w:rPr>
      <w:rFonts w:ascii="宋体" w:hAnsi="Times New Roman" w:eastAsia="宋体" w:cs="Times New Roman"/>
      <w:kern w:val="0"/>
      <w:sz w:val="18"/>
      <w:szCs w:val="18"/>
      <w:lang w:val="en-US" w:eastAsia="zh-CN" w:bidi="ar-SA"/>
    </w:rPr>
  </w:style>
  <w:style w:type="paragraph" w:customStyle="1" w:styleId="214">
    <w:name w:val="示例后文字"/>
    <w:basedOn w:val="37"/>
    <w:next w:val="37"/>
    <w:uiPriority w:val="0"/>
    <w:pPr>
      <w:ind w:firstLine="360"/>
    </w:pPr>
    <w:rPr>
      <w:rFonts w:hAnsi="Times New Roman" w:eastAsia="宋体" w:cs="Times New Roman"/>
      <w:kern w:val="0"/>
      <w:sz w:val="18"/>
      <w:szCs w:val="20"/>
    </w:rPr>
  </w:style>
  <w:style w:type="paragraph" w:customStyle="1" w:styleId="215">
    <w:name w:val="参考文献、索引标题"/>
    <w:basedOn w:val="1"/>
    <w:next w:val="37"/>
    <w:qFormat/>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216">
    <w:name w:val="图表脚注"/>
    <w:next w:val="37"/>
    <w:qFormat/>
    <w:uiPriority w:val="0"/>
    <w:pPr>
      <w:ind w:left="300" w:leftChars="200" w:hanging="100" w:hangingChars="100"/>
      <w:jc w:val="both"/>
    </w:pPr>
    <w:rPr>
      <w:rFonts w:ascii="宋体" w:hAnsi="Times New Roman" w:eastAsia="宋体" w:cs="Times New Roman"/>
      <w:kern w:val="0"/>
      <w:sz w:val="18"/>
      <w:szCs w:val="20"/>
      <w:lang w:val="en-US" w:eastAsia="zh-CN" w:bidi="ar-SA"/>
    </w:rPr>
  </w:style>
  <w:style w:type="paragraph" w:customStyle="1" w:styleId="217">
    <w:name w:val="图表脚注说明"/>
    <w:basedOn w:val="1"/>
    <w:uiPriority w:val="0"/>
    <w:pPr>
      <w:ind w:left="544" w:hanging="181"/>
    </w:pPr>
    <w:rPr>
      <w:rFonts w:ascii="宋体" w:hAnsi="Times New Roman" w:eastAsia="宋体" w:cs="Times New Roman"/>
      <w:sz w:val="18"/>
      <w:szCs w:val="18"/>
    </w:rPr>
  </w:style>
  <w:style w:type="paragraph" w:customStyle="1" w:styleId="218">
    <w:name w:val="附录标题"/>
    <w:basedOn w:val="37"/>
    <w:next w:val="37"/>
    <w:uiPriority w:val="0"/>
    <w:pPr>
      <w:ind w:firstLine="0" w:firstLineChars="0"/>
      <w:jc w:val="center"/>
    </w:pPr>
    <w:rPr>
      <w:rFonts w:ascii="黑体" w:hAnsi="Times New Roman" w:eastAsia="黑体" w:cs="Times New Roman"/>
      <w:kern w:val="0"/>
      <w:szCs w:val="20"/>
    </w:rPr>
  </w:style>
  <w:style w:type="paragraph" w:customStyle="1" w:styleId="219">
    <w:name w:val="标准二级标题"/>
    <w:basedOn w:val="3"/>
    <w:qFormat/>
    <w:uiPriority w:val="0"/>
    <w:pPr>
      <w:ind w:left="210" w:leftChars="100" w:right="210" w:rightChars="100"/>
      <w:jc w:val="left"/>
    </w:pPr>
    <w:rPr>
      <w:rFonts w:ascii="Cambria" w:hAnsi="Cambria"/>
      <w:sz w:val="21"/>
    </w:rPr>
  </w:style>
  <w:style w:type="paragraph" w:customStyle="1" w:styleId="220">
    <w:name w:val="标准三级标题"/>
    <w:basedOn w:val="4"/>
    <w:uiPriority w:val="0"/>
    <w:pPr>
      <w:ind w:left="100" w:leftChars="100" w:right="210" w:rightChars="100"/>
    </w:pPr>
    <w:rPr>
      <w:rFonts w:eastAsia="黑体"/>
      <w:sz w:val="21"/>
    </w:rPr>
  </w:style>
  <w:style w:type="paragraph" w:customStyle="1" w:styleId="221">
    <w:name w:val="标准书脚_偶数页"/>
    <w:qFormat/>
    <w:uiPriority w:val="0"/>
    <w:pPr>
      <w:spacing w:before="120"/>
      <w:ind w:left="221"/>
    </w:pPr>
    <w:rPr>
      <w:rFonts w:ascii="宋体" w:hAnsi="Times New Roman" w:eastAsia="宋体" w:cs="Times New Roman"/>
      <w:kern w:val="0"/>
      <w:sz w:val="18"/>
      <w:szCs w:val="18"/>
      <w:lang w:val="en-US" w:eastAsia="zh-CN" w:bidi="ar-SA"/>
    </w:rPr>
  </w:style>
  <w:style w:type="paragraph" w:customStyle="1" w:styleId="222">
    <w:name w:val="附录一级条标题"/>
    <w:basedOn w:val="175"/>
    <w:next w:val="37"/>
    <w:qFormat/>
    <w:uiPriority w:val="0"/>
    <w:pPr>
      <w:autoSpaceDN w:val="0"/>
      <w:spacing w:beforeLines="50" w:afterLines="50"/>
      <w:outlineLvl w:val="2"/>
    </w:pPr>
  </w:style>
  <w:style w:type="paragraph" w:customStyle="1" w:styleId="223">
    <w:name w:val="五级无"/>
    <w:basedOn w:val="176"/>
    <w:qFormat/>
    <w:uiPriority w:val="0"/>
    <w:pPr>
      <w:spacing w:before="0" w:after="0"/>
    </w:pPr>
    <w:rPr>
      <w:rFonts w:ascii="宋体" w:eastAsia="宋体"/>
    </w:rPr>
  </w:style>
  <w:style w:type="paragraph" w:customStyle="1" w:styleId="224">
    <w:name w:val="附录公式编号制表符"/>
    <w:basedOn w:val="1"/>
    <w:next w:val="37"/>
    <w:qFormat/>
    <w:uiPriority w:val="0"/>
    <w:pPr>
      <w:widowControl/>
      <w:tabs>
        <w:tab w:val="center" w:pos="4201"/>
        <w:tab w:val="right" w:leader="dot" w:pos="9298"/>
      </w:tabs>
      <w:autoSpaceDE w:val="0"/>
      <w:autoSpaceDN w:val="0"/>
    </w:pPr>
    <w:rPr>
      <w:rFonts w:ascii="宋体" w:hAnsi="Times New Roman" w:eastAsia="宋体" w:cs="Times New Roman"/>
      <w:kern w:val="0"/>
      <w:szCs w:val="20"/>
    </w:rPr>
  </w:style>
  <w:style w:type="paragraph" w:customStyle="1" w:styleId="225">
    <w:name w:val="示例×："/>
    <w:basedOn w:val="191"/>
    <w:qFormat/>
    <w:uiPriority w:val="0"/>
    <w:pPr>
      <w:spacing w:beforeLines="0" w:afterLines="0"/>
      <w:ind w:firstLine="363"/>
      <w:outlineLvl w:val="9"/>
    </w:pPr>
    <w:rPr>
      <w:rFonts w:ascii="宋体" w:eastAsia="宋体"/>
      <w:sz w:val="18"/>
      <w:szCs w:val="18"/>
    </w:rPr>
  </w:style>
  <w:style w:type="paragraph" w:customStyle="1" w:styleId="226">
    <w:name w:val="其他标准称谓"/>
    <w:next w:val="1"/>
    <w:uiPriority w:val="0"/>
    <w:pPr>
      <w:spacing w:line="0" w:lineRule="atLeast"/>
      <w:jc w:val="distribute"/>
    </w:pPr>
    <w:rPr>
      <w:rFonts w:ascii="黑体" w:hAnsi="宋体" w:eastAsia="黑体" w:cs="Times New Roman"/>
      <w:spacing w:val="-40"/>
      <w:kern w:val="0"/>
      <w:sz w:val="48"/>
      <w:szCs w:val="52"/>
      <w:lang w:val="en-US" w:eastAsia="zh-CN" w:bidi="ar-SA"/>
    </w:rPr>
  </w:style>
  <w:style w:type="paragraph" w:customStyle="1" w:styleId="227">
    <w:name w:val="附录二级无"/>
    <w:basedOn w:val="143"/>
    <w:qFormat/>
    <w:uiPriority w:val="0"/>
    <w:pPr>
      <w:tabs>
        <w:tab w:val="clear" w:pos="360"/>
      </w:tabs>
      <w:spacing w:beforeLines="0" w:afterLines="0"/>
    </w:pPr>
    <w:rPr>
      <w:rFonts w:ascii="宋体" w:eastAsia="宋体"/>
      <w:szCs w:val="21"/>
    </w:rPr>
  </w:style>
  <w:style w:type="paragraph" w:customStyle="1" w:styleId="228">
    <w:name w:val="封面标准文稿编辑信息2"/>
    <w:basedOn w:val="192"/>
    <w:qFormat/>
    <w:uiPriority w:val="0"/>
  </w:style>
  <w:style w:type="paragraph" w:customStyle="1" w:styleId="229">
    <w:name w:val="正文公式编号制表符"/>
    <w:basedOn w:val="37"/>
    <w:next w:val="37"/>
    <w:uiPriority w:val="0"/>
    <w:pPr>
      <w:ind w:firstLine="0" w:firstLineChars="0"/>
    </w:pPr>
    <w:rPr>
      <w:rFonts w:hAnsi="Times New Roman" w:eastAsia="宋体" w:cs="Times New Roman"/>
      <w:kern w:val="0"/>
      <w:szCs w:val="20"/>
    </w:rPr>
  </w:style>
  <w:style w:type="paragraph" w:customStyle="1" w:styleId="230">
    <w:name w:val="附录一级无"/>
    <w:basedOn w:val="222"/>
    <w:qFormat/>
    <w:uiPriority w:val="0"/>
    <w:pPr>
      <w:tabs>
        <w:tab w:val="clear" w:pos="360"/>
      </w:tabs>
      <w:spacing w:beforeLines="0" w:afterLines="0"/>
    </w:pPr>
    <w:rPr>
      <w:rFonts w:ascii="宋体" w:eastAsia="宋体"/>
      <w:szCs w:val="21"/>
    </w:rPr>
  </w:style>
  <w:style w:type="paragraph" w:customStyle="1" w:styleId="231">
    <w:name w:val="注×："/>
    <w:uiPriority w:val="0"/>
    <w:pPr>
      <w:widowControl w:val="0"/>
      <w:autoSpaceDE w:val="0"/>
      <w:autoSpaceDN w:val="0"/>
      <w:ind w:left="811" w:hanging="448"/>
      <w:jc w:val="both"/>
    </w:pPr>
    <w:rPr>
      <w:rFonts w:ascii="宋体" w:hAnsi="Times New Roman" w:eastAsia="宋体" w:cs="Times New Roman"/>
      <w:kern w:val="0"/>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622</Words>
  <Characters>3548</Characters>
  <Lines>29</Lines>
  <Paragraphs>8</Paragraphs>
  <TotalTime>609</TotalTime>
  <ScaleCrop>false</ScaleCrop>
  <LinksUpToDate>false</LinksUpToDate>
  <CharactersWithSpaces>4162</CharactersWithSpaces>
  <Application>WPS Office_11.1.0.8306_F1E327BC-269C-435d-A152-05C5408002CA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2018-08-08T01:41:00Z</dcterms:created>
  <dc:creator>张国栋</dc:creator>
  <cp:lastModifiedBy>禹</cp:lastModifiedBy>
  <dcterms:modified xsi:type="dcterms:W3CDTF">2018-12-26T02:29:18Z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2052-11.1.0.8306</vt:lpwstr>
  </property>
</Properties>
</file>